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Pr="00093D69" w:rsidRDefault="006816EC" w:rsidP="006816EC">
      <w:pPr>
        <w:suppressLineNumbers/>
        <w:rPr>
          <w:rFonts w:ascii="David" w:hAnsi="David" w:hint="cs"/>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RPr="00093D69" w:rsidTr="006816EC">
        <w:trPr>
          <w:jc w:val="center"/>
        </w:trPr>
        <w:tc>
          <w:tcPr>
            <w:tcW w:w="743" w:type="dxa"/>
            <w:hideMark/>
          </w:tcPr>
          <w:p w:rsidR="006816EC" w:rsidRPr="00093D69" w:rsidRDefault="00FB3C14">
            <w:pPr>
              <w:jc w:val="both"/>
              <w:rPr>
                <w:rFonts w:ascii="David" w:hAnsi="David"/>
                <w:b/>
                <w:bCs/>
                <w:sz w:val="28"/>
                <w:szCs w:val="28"/>
              </w:rPr>
            </w:pPr>
            <w:r w:rsidRPr="00093D69">
              <w:rPr>
                <w:rFonts w:ascii="David" w:hAnsi="David"/>
                <w:b/>
                <w:bCs/>
                <w:sz w:val="28"/>
                <w:rtl/>
              </w:rPr>
              <w:t>ל</w:t>
            </w:r>
            <w:r w:rsidR="006816EC" w:rsidRPr="00093D69">
              <w:rPr>
                <w:rFonts w:ascii="David" w:hAnsi="David"/>
                <w:b/>
                <w:bCs/>
                <w:sz w:val="28"/>
                <w:rtl/>
              </w:rPr>
              <w:t xml:space="preserve">פני </w:t>
            </w:r>
          </w:p>
        </w:tc>
        <w:tc>
          <w:tcPr>
            <w:tcW w:w="8077" w:type="dxa"/>
            <w:gridSpan w:val="2"/>
            <w:hideMark/>
          </w:tcPr>
          <w:p w:rsidR="006816EC" w:rsidRPr="00093D69" w:rsidRDefault="00B32C61" w:rsidP="006816EC">
            <w:pPr>
              <w:rPr>
                <w:rFonts w:ascii="David" w:hAnsi="David"/>
                <w:b/>
                <w:bCs/>
                <w:rtl/>
              </w:rPr>
            </w:pPr>
            <w:r w:rsidRPr="00093D69">
              <w:rPr>
                <w:rFonts w:ascii="David" w:hAnsi="David"/>
                <w:b/>
                <w:bCs/>
                <w:rtl/>
              </w:rPr>
              <w:t>כבוד</w:t>
            </w:r>
            <w:r w:rsidR="006816EC" w:rsidRPr="00093D69">
              <w:rPr>
                <w:rFonts w:ascii="David" w:hAnsi="David"/>
                <w:b/>
                <w:bCs/>
                <w:rtl/>
              </w:rPr>
              <w:t xml:space="preserve"> ה</w:t>
            </w:r>
            <w:sdt>
              <w:sdtPr>
                <w:rPr>
                  <w:rFonts w:ascii="David" w:hAnsi="David"/>
                  <w:rtl/>
                </w:rPr>
                <w:alias w:val="1574"/>
                <w:tag w:val="1574"/>
                <w:id w:val="-868990752"/>
                <w:text w:multiLine="1"/>
              </w:sdtPr>
              <w:sdtEndPr/>
              <w:sdtContent>
                <w:r w:rsidRPr="00093D69">
                  <w:rPr>
                    <w:rFonts w:ascii="David" w:hAnsi="David"/>
                    <w:b/>
                    <w:bCs/>
                    <w:rtl/>
                  </w:rPr>
                  <w:t>שופטת</w:t>
                </w:r>
              </w:sdtContent>
            </w:sdt>
            <w:r w:rsidR="006816EC" w:rsidRPr="00093D69">
              <w:rPr>
                <w:rFonts w:ascii="David" w:hAnsi="David"/>
                <w:b/>
                <w:bCs/>
                <w:rtl/>
              </w:rPr>
              <w:t xml:space="preserve">  </w:t>
            </w:r>
            <w:sdt>
              <w:sdtPr>
                <w:rPr>
                  <w:rFonts w:ascii="David" w:hAnsi="David"/>
                  <w:rtl/>
                </w:rPr>
                <w:alias w:val="1573"/>
                <w:tag w:val="1573"/>
                <w:id w:val="407734867"/>
                <w:text w:multiLine="1"/>
              </w:sdtPr>
              <w:sdtEndPr/>
              <w:sdtContent>
                <w:r w:rsidRPr="00093D69">
                  <w:rPr>
                    <w:rFonts w:ascii="David" w:hAnsi="David"/>
                    <w:b/>
                    <w:bCs/>
                    <w:rtl/>
                  </w:rPr>
                  <w:t>הילה מלר-שלו</w:t>
                </w:r>
              </w:sdtContent>
            </w:sdt>
          </w:p>
          <w:p w:rsidR="006816EC" w:rsidRPr="00093D69" w:rsidRDefault="006816EC" w:rsidP="006816EC">
            <w:pPr>
              <w:rPr>
                <w:rFonts w:ascii="David" w:hAnsi="David"/>
              </w:rPr>
            </w:pPr>
          </w:p>
        </w:tc>
      </w:tr>
      <w:tr w:rsidR="006816EC" w:rsidRPr="00093D69" w:rsidTr="006816EC">
        <w:trPr>
          <w:jc w:val="center"/>
        </w:trPr>
        <w:tc>
          <w:tcPr>
            <w:tcW w:w="3249" w:type="dxa"/>
            <w:gridSpan w:val="2"/>
          </w:tcPr>
          <w:p w:rsidR="006816EC" w:rsidRPr="00093D69" w:rsidRDefault="006816EC">
            <w:pPr>
              <w:bidi w:val="0"/>
              <w:rPr>
                <w:rFonts w:ascii="David" w:hAnsi="David"/>
                <w:b/>
                <w:bCs/>
                <w:noProof w:val="0"/>
                <w:sz w:val="28"/>
                <w:szCs w:val="28"/>
                <w:rtl/>
              </w:rPr>
            </w:pPr>
          </w:p>
          <w:sdt>
            <w:sdtPr>
              <w:rPr>
                <w:rFonts w:ascii="David" w:hAnsi="David"/>
                <w:rtl/>
              </w:rPr>
              <w:alias w:val="1180"/>
              <w:tag w:val="1180"/>
              <w:id w:val="-803768281"/>
              <w:text w:multiLine="1"/>
            </w:sdtPr>
            <w:sdtEndPr/>
            <w:sdtContent>
              <w:p w:rsidR="00250933" w:rsidRPr="00093D69" w:rsidRDefault="009B38A4">
                <w:pPr>
                  <w:rPr>
                    <w:rFonts w:ascii="David" w:hAnsi="David"/>
                    <w:b/>
                    <w:bCs/>
                    <w:noProof w:val="0"/>
                    <w:sz w:val="28"/>
                    <w:szCs w:val="28"/>
                  </w:rPr>
                </w:pPr>
                <w:r w:rsidRPr="00093D69">
                  <w:rPr>
                    <w:rFonts w:ascii="David" w:hAnsi="David"/>
                    <w:b/>
                    <w:bCs/>
                    <w:noProof w:val="0"/>
                    <w:sz w:val="28"/>
                    <w:rtl/>
                  </w:rPr>
                  <w:t>תובע</w:t>
                </w:r>
              </w:p>
            </w:sdtContent>
          </w:sdt>
        </w:tc>
        <w:tc>
          <w:tcPr>
            <w:tcW w:w="5571" w:type="dxa"/>
          </w:tcPr>
          <w:p w:rsidR="006816EC" w:rsidRPr="00093D69" w:rsidRDefault="006816EC">
            <w:pPr>
              <w:rPr>
                <w:rFonts w:ascii="David" w:hAnsi="David"/>
                <w:b/>
                <w:bCs/>
                <w:noProof w:val="0"/>
                <w:sz w:val="28"/>
                <w:szCs w:val="28"/>
                <w:rtl/>
              </w:rPr>
            </w:pPr>
          </w:p>
          <w:p w:rsidR="006816EC" w:rsidRPr="00093D69" w:rsidRDefault="005A543C" w:rsidP="009B38A4">
            <w:pPr>
              <w:rPr>
                <w:rFonts w:ascii="David" w:hAnsi="David"/>
                <w:b/>
                <w:bCs/>
                <w:noProof w:val="0"/>
                <w:sz w:val="28"/>
                <w:szCs w:val="28"/>
              </w:rPr>
            </w:pPr>
            <w:r w:rsidRPr="00093D69">
              <w:rPr>
                <w:rFonts w:ascii="David" w:hAnsi="David"/>
                <w:b/>
                <w:bCs/>
                <w:noProof w:val="0"/>
                <w:sz w:val="28"/>
                <w:rtl/>
              </w:rPr>
              <w:t>אלמוני</w:t>
            </w:r>
            <w:r w:rsidR="00E44DDF" w:rsidRPr="00093D69">
              <w:rPr>
                <w:rFonts w:ascii="David" w:hAnsi="David"/>
                <w:b/>
                <w:bCs/>
                <w:noProof w:val="0"/>
                <w:sz w:val="28"/>
                <w:rtl/>
              </w:rPr>
              <w:t xml:space="preserve"> </w:t>
            </w:r>
          </w:p>
        </w:tc>
      </w:tr>
      <w:tr w:rsidR="006816EC" w:rsidRPr="00093D69" w:rsidTr="006816EC">
        <w:trPr>
          <w:jc w:val="center"/>
        </w:trPr>
        <w:tc>
          <w:tcPr>
            <w:tcW w:w="8820" w:type="dxa"/>
            <w:gridSpan w:val="3"/>
          </w:tcPr>
          <w:p w:rsidR="006816EC" w:rsidRPr="00093D69" w:rsidRDefault="006816EC">
            <w:pPr>
              <w:rPr>
                <w:rFonts w:ascii="David" w:hAnsi="David"/>
                <w:b/>
                <w:bCs/>
                <w:noProof w:val="0"/>
                <w:sz w:val="28"/>
                <w:szCs w:val="28"/>
                <w:rtl/>
              </w:rPr>
            </w:pPr>
          </w:p>
          <w:p w:rsidR="006816EC" w:rsidRPr="00093D69" w:rsidRDefault="006816EC">
            <w:pPr>
              <w:jc w:val="center"/>
              <w:rPr>
                <w:rFonts w:ascii="David" w:hAnsi="David"/>
                <w:b/>
                <w:bCs/>
                <w:noProof w:val="0"/>
                <w:sz w:val="28"/>
                <w:rtl/>
              </w:rPr>
            </w:pPr>
            <w:r w:rsidRPr="00093D69">
              <w:rPr>
                <w:rFonts w:ascii="David" w:hAnsi="David"/>
                <w:b/>
                <w:bCs/>
                <w:noProof w:val="0"/>
                <w:sz w:val="28"/>
                <w:rtl/>
              </w:rPr>
              <w:t>נגד</w:t>
            </w:r>
          </w:p>
          <w:p w:rsidR="006816EC" w:rsidRPr="00093D69" w:rsidRDefault="006816EC">
            <w:pPr>
              <w:rPr>
                <w:rFonts w:ascii="David" w:hAnsi="David"/>
                <w:b/>
                <w:bCs/>
                <w:noProof w:val="0"/>
                <w:sz w:val="28"/>
                <w:szCs w:val="28"/>
              </w:rPr>
            </w:pPr>
          </w:p>
        </w:tc>
      </w:tr>
      <w:tr w:rsidR="006816EC" w:rsidRPr="00093D69" w:rsidTr="006816EC">
        <w:trPr>
          <w:jc w:val="center"/>
        </w:trPr>
        <w:tc>
          <w:tcPr>
            <w:tcW w:w="3249" w:type="dxa"/>
            <w:gridSpan w:val="2"/>
          </w:tcPr>
          <w:p w:rsidR="006816EC" w:rsidRPr="00093D69" w:rsidRDefault="006816EC">
            <w:pPr>
              <w:rPr>
                <w:rFonts w:ascii="David" w:hAnsi="David"/>
                <w:b/>
                <w:bCs/>
                <w:noProof w:val="0"/>
                <w:sz w:val="28"/>
                <w:szCs w:val="28"/>
                <w:rtl/>
              </w:rPr>
            </w:pPr>
          </w:p>
          <w:p w:rsidR="006816EC" w:rsidRPr="00093D69" w:rsidRDefault="00F917AB">
            <w:pPr>
              <w:rPr>
                <w:rFonts w:ascii="David" w:hAnsi="David"/>
                <w:b/>
                <w:bCs/>
                <w:noProof w:val="0"/>
                <w:sz w:val="28"/>
                <w:szCs w:val="28"/>
              </w:rPr>
            </w:pPr>
            <w:sdt>
              <w:sdtPr>
                <w:rPr>
                  <w:rFonts w:ascii="David" w:hAnsi="David"/>
                  <w:rtl/>
                </w:rPr>
                <w:alias w:val="1184"/>
                <w:tag w:val="1184"/>
                <w:id w:val="-910234160"/>
                <w:text w:multiLine="1"/>
              </w:sdtPr>
              <w:sdtEndPr/>
              <w:sdtContent>
                <w:r w:rsidR="009B38A4" w:rsidRPr="00093D69">
                  <w:rPr>
                    <w:rFonts w:ascii="David" w:hAnsi="David"/>
                    <w:b/>
                    <w:bCs/>
                    <w:noProof w:val="0"/>
                    <w:sz w:val="28"/>
                    <w:rtl/>
                  </w:rPr>
                  <w:t>נתבעת</w:t>
                </w:r>
              </w:sdtContent>
            </w:sdt>
          </w:p>
        </w:tc>
        <w:tc>
          <w:tcPr>
            <w:tcW w:w="5571" w:type="dxa"/>
          </w:tcPr>
          <w:p w:rsidR="006816EC" w:rsidRPr="00093D69" w:rsidRDefault="006816EC">
            <w:pPr>
              <w:rPr>
                <w:rFonts w:ascii="David" w:hAnsi="David"/>
                <w:b/>
                <w:bCs/>
                <w:noProof w:val="0"/>
                <w:sz w:val="28"/>
                <w:szCs w:val="28"/>
                <w:rtl/>
              </w:rPr>
            </w:pPr>
          </w:p>
          <w:p w:rsidR="006816EC" w:rsidRPr="00093D69" w:rsidRDefault="005A543C" w:rsidP="009B38A4">
            <w:pPr>
              <w:rPr>
                <w:rFonts w:ascii="David" w:hAnsi="David"/>
                <w:b/>
                <w:bCs/>
                <w:noProof w:val="0"/>
                <w:sz w:val="28"/>
                <w:szCs w:val="28"/>
              </w:rPr>
            </w:pPr>
            <w:r w:rsidRPr="00093D69">
              <w:rPr>
                <w:rFonts w:ascii="David" w:hAnsi="David"/>
                <w:b/>
                <w:bCs/>
                <w:noProof w:val="0"/>
                <w:sz w:val="28"/>
                <w:rtl/>
              </w:rPr>
              <w:t>פלונית</w:t>
            </w:r>
            <w:r w:rsidR="00E44DDF" w:rsidRPr="00093D69">
              <w:rPr>
                <w:rFonts w:ascii="David" w:hAnsi="David"/>
                <w:rtl/>
              </w:rPr>
              <w:t xml:space="preserve"> </w:t>
            </w:r>
          </w:p>
        </w:tc>
      </w:tr>
      <w:tr w:rsidR="00D36A71" w:rsidRPr="00093D69" w:rsidTr="00A94B1C">
        <w:trPr>
          <w:jc w:val="center"/>
        </w:trPr>
        <w:tc>
          <w:tcPr>
            <w:tcW w:w="8820" w:type="dxa"/>
            <w:gridSpan w:val="3"/>
          </w:tcPr>
          <w:p w:rsidR="00D36A71" w:rsidRPr="00093D69" w:rsidRDefault="00D36A71">
            <w:pPr>
              <w:rPr>
                <w:rFonts w:ascii="David" w:hAnsi="David"/>
                <w:b/>
                <w:bCs/>
                <w:noProof w:val="0"/>
                <w:sz w:val="28"/>
                <w:szCs w:val="28"/>
                <w:rtl/>
              </w:rPr>
            </w:pPr>
          </w:p>
          <w:p w:rsidR="00D36A71" w:rsidRPr="00093D69" w:rsidRDefault="00D36A71">
            <w:pPr>
              <w:rPr>
                <w:rFonts w:ascii="David" w:hAnsi="David"/>
                <w:b/>
                <w:bCs/>
                <w:noProof w:val="0"/>
                <w:sz w:val="28"/>
                <w:szCs w:val="28"/>
              </w:rPr>
            </w:pPr>
          </w:p>
          <w:p w:rsidR="00D36A71" w:rsidRPr="00093D69" w:rsidRDefault="00D36A71">
            <w:pPr>
              <w:rPr>
                <w:rFonts w:ascii="David" w:hAnsi="David"/>
                <w:b/>
                <w:bCs/>
                <w:noProof w:val="0"/>
                <w:sz w:val="28"/>
                <w:szCs w:val="28"/>
                <w:rtl/>
              </w:rPr>
            </w:pPr>
          </w:p>
        </w:tc>
      </w:tr>
      <w:tr w:rsidR="00D36A71" w:rsidRPr="00093D69" w:rsidTr="006816EC">
        <w:trPr>
          <w:jc w:val="center"/>
        </w:trPr>
        <w:tc>
          <w:tcPr>
            <w:tcW w:w="3249" w:type="dxa"/>
            <w:gridSpan w:val="2"/>
          </w:tcPr>
          <w:p w:rsidR="00250933" w:rsidRPr="00093D69" w:rsidRDefault="00250933">
            <w:pPr>
              <w:rPr>
                <w:rFonts w:ascii="David" w:eastAsia="David" w:hAnsi="David"/>
                <w:noProof w:val="0"/>
              </w:rPr>
            </w:pPr>
          </w:p>
        </w:tc>
        <w:tc>
          <w:tcPr>
            <w:tcW w:w="5571" w:type="dxa"/>
          </w:tcPr>
          <w:p w:rsidR="00250933" w:rsidRPr="00093D69" w:rsidRDefault="00250933">
            <w:pPr>
              <w:rPr>
                <w:rFonts w:ascii="David" w:hAnsi="David"/>
              </w:rPr>
            </w:pPr>
          </w:p>
        </w:tc>
      </w:tr>
    </w:tbl>
    <w:p w:rsidR="006816EC" w:rsidRPr="00093D69" w:rsidRDefault="006816EC" w:rsidP="006816EC">
      <w:pPr>
        <w:suppressLineNumbers/>
        <w:rPr>
          <w:rFonts w:ascii="David" w:hAnsi="David"/>
          <w:sz w:val="28"/>
          <w:szCs w:val="28"/>
          <w:rtl/>
        </w:rPr>
      </w:pPr>
    </w:p>
    <w:p w:rsidR="006816EC" w:rsidRPr="00093D69" w:rsidRDefault="006816EC" w:rsidP="003823DA">
      <w:pPr>
        <w:suppressLineNumbers/>
        <w:rPr>
          <w:rFonts w:ascii="David" w:hAnsi="David"/>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093D69">
        <w:trPr>
          <w:jc w:val="center"/>
        </w:trPr>
        <w:tc>
          <w:tcPr>
            <w:tcW w:w="8820" w:type="dxa"/>
          </w:tcPr>
          <w:p w:rsidR="00694556" w:rsidRPr="00093D69" w:rsidRDefault="00005C8B">
            <w:pPr>
              <w:bidi w:val="0"/>
              <w:jc w:val="center"/>
              <w:rPr>
                <w:rFonts w:ascii="David" w:hAnsi="David"/>
                <w:b/>
                <w:bCs/>
                <w:noProof w:val="0"/>
                <w:sz w:val="28"/>
                <w:szCs w:val="28"/>
                <w:u w:val="single"/>
              </w:rPr>
            </w:pPr>
            <w:r w:rsidRPr="00093D69">
              <w:rPr>
                <w:rFonts w:ascii="David" w:hAnsi="David"/>
                <w:b/>
                <w:bCs/>
                <w:noProof w:val="0"/>
                <w:sz w:val="28"/>
                <w:szCs w:val="28"/>
                <w:u w:val="single"/>
                <w:rtl/>
              </w:rPr>
              <w:t>פסק דין</w:t>
            </w:r>
          </w:p>
        </w:tc>
      </w:tr>
    </w:tbl>
    <w:p w:rsidR="00694556" w:rsidRPr="00093D69" w:rsidRDefault="00FC7F08" w:rsidP="00FC7F08">
      <w:pPr>
        <w:tabs>
          <w:tab w:val="left" w:pos="3594"/>
        </w:tabs>
        <w:spacing w:line="360" w:lineRule="auto"/>
        <w:jc w:val="both"/>
        <w:rPr>
          <w:rFonts w:ascii="David" w:hAnsi="David"/>
          <w:noProof w:val="0"/>
          <w:rtl/>
        </w:rPr>
      </w:pPr>
      <w:r>
        <w:rPr>
          <w:rFonts w:ascii="David" w:hAnsi="David"/>
          <w:noProof w:val="0"/>
          <w:rtl/>
        </w:rPr>
        <w:tab/>
      </w:r>
    </w:p>
    <w:p w:rsidR="009B38A4" w:rsidRPr="00093D69" w:rsidRDefault="009B38A4" w:rsidP="00A31A23">
      <w:pPr>
        <w:spacing w:line="360" w:lineRule="auto"/>
        <w:jc w:val="both"/>
        <w:rPr>
          <w:rFonts w:ascii="David" w:hAnsi="David"/>
          <w:noProof w:val="0"/>
        </w:rPr>
      </w:pPr>
      <w:r w:rsidRPr="00093D69">
        <w:rPr>
          <w:rFonts w:ascii="David" w:hAnsi="David"/>
          <w:rtl/>
        </w:rPr>
        <w:t xml:space="preserve">פסק דין זה עניינו הכרעה בתביעה שהוגשה על ידי התובע בהתאם לחוק אמנת האג (החזרת ילדים חטופים), התשנ"א – 1991, שבמסגרתה עתר להשבת בתם המשותפת היחידה של הצדדים, ילידת </w:t>
      </w:r>
      <w:r w:rsidR="00A31A23" w:rsidRPr="00093D69">
        <w:rPr>
          <w:rFonts w:ascii="David" w:hAnsi="David"/>
          <w:rtl/>
        </w:rPr>
        <w:t>שנת 2022</w:t>
      </w:r>
      <w:r w:rsidRPr="00093D69">
        <w:rPr>
          <w:rFonts w:ascii="David" w:hAnsi="David"/>
          <w:rtl/>
        </w:rPr>
        <w:t>, למקום מושבה בארצות הברית.</w:t>
      </w:r>
    </w:p>
    <w:p w:rsidR="009B38A4" w:rsidRPr="00093D69" w:rsidRDefault="009B38A4" w:rsidP="009B38A4">
      <w:pPr>
        <w:jc w:val="both"/>
        <w:rPr>
          <w:rFonts w:ascii="David" w:hAnsi="David"/>
          <w:sz w:val="12"/>
          <w:szCs w:val="12"/>
          <w:rtl/>
        </w:rPr>
      </w:pPr>
    </w:p>
    <w:p w:rsidR="00FC7F08" w:rsidRDefault="00FC7F08" w:rsidP="00194A30">
      <w:pPr>
        <w:ind w:firstLine="360"/>
        <w:jc w:val="both"/>
        <w:rPr>
          <w:rFonts w:ascii="David" w:hAnsi="David"/>
          <w:b/>
          <w:bCs/>
          <w:u w:val="single"/>
          <w:rtl/>
        </w:rPr>
      </w:pPr>
    </w:p>
    <w:p w:rsidR="009B38A4" w:rsidRPr="00093D69" w:rsidRDefault="009B38A4" w:rsidP="00194A30">
      <w:pPr>
        <w:ind w:firstLine="360"/>
        <w:jc w:val="both"/>
        <w:rPr>
          <w:rFonts w:ascii="David" w:hAnsi="David"/>
          <w:b/>
          <w:bCs/>
          <w:u w:val="single"/>
          <w:rtl/>
        </w:rPr>
      </w:pPr>
      <w:r w:rsidRPr="00093D69">
        <w:rPr>
          <w:rFonts w:ascii="David" w:hAnsi="David"/>
          <w:b/>
          <w:bCs/>
          <w:u w:val="single"/>
          <w:rtl/>
        </w:rPr>
        <w:t xml:space="preserve">העובדות הנדרשות </w:t>
      </w:r>
    </w:p>
    <w:p w:rsidR="00194A30" w:rsidRPr="00093D69" w:rsidRDefault="00194A30" w:rsidP="009B38A4">
      <w:pPr>
        <w:jc w:val="both"/>
        <w:rPr>
          <w:rFonts w:ascii="David" w:hAnsi="David"/>
          <w:b/>
          <w:bCs/>
          <w:sz w:val="14"/>
          <w:szCs w:val="14"/>
          <w:u w:val="single"/>
          <w:rtl/>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התובע (להלן גם </w:t>
      </w:r>
      <w:r w:rsidRPr="00093D69">
        <w:rPr>
          <w:rFonts w:ascii="David" w:hAnsi="David" w:cs="David"/>
          <w:b/>
          <w:bCs/>
          <w:sz w:val="24"/>
          <w:szCs w:val="24"/>
          <w:rtl/>
        </w:rPr>
        <w:t>"האב"</w:t>
      </w:r>
      <w:r w:rsidRPr="00093D69">
        <w:rPr>
          <w:rFonts w:ascii="David" w:hAnsi="David" w:cs="David"/>
          <w:sz w:val="24"/>
          <w:szCs w:val="24"/>
          <w:rtl/>
        </w:rPr>
        <w:t xml:space="preserve">) והנתבעת (להלן גם </w:t>
      </w:r>
      <w:r w:rsidRPr="00093D69">
        <w:rPr>
          <w:rFonts w:ascii="David" w:hAnsi="David" w:cs="David"/>
          <w:b/>
          <w:bCs/>
          <w:sz w:val="24"/>
          <w:szCs w:val="24"/>
          <w:rtl/>
        </w:rPr>
        <w:t>"האם"</w:t>
      </w:r>
      <w:r w:rsidRPr="00093D69">
        <w:rPr>
          <w:rFonts w:ascii="David" w:hAnsi="David" w:cs="David"/>
          <w:sz w:val="24"/>
          <w:szCs w:val="24"/>
          <w:rtl/>
        </w:rPr>
        <w:t>) הכירו בשנת 2016 בהיות הנתבעת בחופשה בניו יורק; לאחר ששבה הנתבעת ארצה מאותה חופשה, החל מתרקם קשר זוגי בין הצדדים, כשהתובע הגיע אף לישראל; לאחר מכן עברה הנתבעת להתגורר עמו בארצות הברית.</w:t>
      </w:r>
    </w:p>
    <w:p w:rsidR="009B38A4" w:rsidRPr="00093D69" w:rsidRDefault="009B38A4" w:rsidP="009B38A4">
      <w:pPr>
        <w:pStyle w:val="ad"/>
        <w:spacing w:line="360" w:lineRule="auto"/>
        <w:jc w:val="both"/>
        <w:rPr>
          <w:rFonts w:ascii="David" w:hAnsi="David" w:cs="David"/>
          <w:sz w:val="24"/>
          <w:szCs w:val="24"/>
        </w:rPr>
      </w:pPr>
    </w:p>
    <w:p w:rsidR="009B38A4" w:rsidRPr="00093D69" w:rsidRDefault="00A31A23" w:rsidP="00A31A23">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lastRenderedPageBreak/>
        <w:t xml:space="preserve">בשנת 2017 </w:t>
      </w:r>
      <w:r w:rsidRPr="00093D69">
        <w:rPr>
          <w:rFonts w:ascii="David" w:hAnsi="David" w:cs="David"/>
          <w:sz w:val="24"/>
          <w:szCs w:val="24"/>
          <w:u w:val="single"/>
          <w:rtl/>
        </w:rPr>
        <w:t>נ</w:t>
      </w:r>
      <w:r w:rsidR="009B38A4" w:rsidRPr="00093D69">
        <w:rPr>
          <w:rFonts w:ascii="David" w:hAnsi="David" w:cs="David"/>
          <w:sz w:val="24"/>
          <w:szCs w:val="24"/>
          <w:u w:val="single"/>
          <w:rtl/>
        </w:rPr>
        <w:t>ישאו הצדדים אזרחית בארה"ב</w:t>
      </w:r>
      <w:r w:rsidR="009B38A4" w:rsidRPr="00093D69">
        <w:rPr>
          <w:rFonts w:ascii="David" w:hAnsi="David" w:cs="David"/>
          <w:sz w:val="24"/>
          <w:szCs w:val="24"/>
          <w:rtl/>
        </w:rPr>
        <w:t xml:space="preserve"> (ר' תעודת נישואין, נספח 5 לכתב התביעה).</w:t>
      </w:r>
    </w:p>
    <w:p w:rsidR="009B38A4" w:rsidRPr="00093D69" w:rsidRDefault="009B38A4" w:rsidP="009B38A4">
      <w:pPr>
        <w:pStyle w:val="ad"/>
        <w:rPr>
          <w:rFonts w:ascii="David" w:hAnsi="David" w:cs="David"/>
          <w:sz w:val="24"/>
          <w:szCs w:val="24"/>
        </w:rPr>
      </w:pPr>
    </w:p>
    <w:p w:rsidR="009B38A4" w:rsidRPr="00093D69" w:rsidRDefault="009B38A4" w:rsidP="000B2622">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לת</w:t>
      </w:r>
      <w:r w:rsidR="000B2622">
        <w:rPr>
          <w:rFonts w:ascii="David" w:hAnsi="David" w:cs="David" w:hint="cs"/>
          <w:sz w:val="24"/>
          <w:szCs w:val="24"/>
          <w:rtl/>
        </w:rPr>
        <w:t>ו</w:t>
      </w:r>
      <w:r w:rsidRPr="00093D69">
        <w:rPr>
          <w:rFonts w:ascii="David" w:hAnsi="David" w:cs="David"/>
          <w:sz w:val="24"/>
          <w:szCs w:val="24"/>
          <w:rtl/>
        </w:rPr>
        <w:t xml:space="preserve">בע, אלו נישואיו השניים; מנישואיו הראשונים יש לו </w:t>
      </w:r>
      <w:r w:rsidR="001B26F2">
        <w:rPr>
          <w:rFonts w:ascii="David" w:hAnsi="David" w:cs="David"/>
          <w:sz w:val="24"/>
          <w:szCs w:val="24"/>
        </w:rPr>
        <w:t>x</w:t>
      </w:r>
      <w:r w:rsidRPr="00093D69">
        <w:rPr>
          <w:rFonts w:ascii="David" w:hAnsi="David" w:cs="David"/>
          <w:sz w:val="24"/>
          <w:szCs w:val="24"/>
          <w:rtl/>
        </w:rPr>
        <w:t xml:space="preserve"> ילדים בגירים כולם מתגוררים בארה"ב, נשואים ולחלקם אף ילדים; לנתבעת דומה כי אלו נישואיה הראשונים ומכל מקום אין חולק, כי אין לה ילדים מקשרים קודמים, למעט בתם המשותפת של הצדדים.</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לאחר שנישאו הצדדים ומאחר והנתבעת לא הצליחה להרות, הם החלו בטיפולי פוריות בארה"ב, שבסופם נולדה להם בתם היחידה, היא הקטינה העומדת בלב הסכסוך דנא.</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מאז נישואי הצדדים בשנת 2017 ועד לנסיעת האם לישראל במרץ 2024 התגוררו הצדדים בארצות הברית </w:t>
      </w:r>
      <w:r w:rsidRPr="00093D69">
        <w:rPr>
          <w:rFonts w:ascii="David" w:hAnsi="David" w:cs="David"/>
          <w:b/>
          <w:bCs/>
          <w:sz w:val="24"/>
          <w:szCs w:val="24"/>
          <w:u w:val="single"/>
          <w:rtl/>
        </w:rPr>
        <w:t>באופן רציף</w:t>
      </w:r>
      <w:r w:rsidRPr="00093D69">
        <w:rPr>
          <w:rFonts w:ascii="David" w:hAnsi="David" w:cs="David"/>
          <w:sz w:val="24"/>
          <w:szCs w:val="24"/>
          <w:rtl/>
        </w:rPr>
        <w:t>.</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b/>
          <w:bCs/>
          <w:sz w:val="24"/>
          <w:szCs w:val="24"/>
          <w:rtl/>
        </w:rPr>
      </w:pPr>
      <w:r w:rsidRPr="00093D69">
        <w:rPr>
          <w:rFonts w:ascii="David" w:hAnsi="David" w:cs="David"/>
          <w:b/>
          <w:bCs/>
          <w:sz w:val="24"/>
          <w:szCs w:val="24"/>
          <w:rtl/>
        </w:rPr>
        <w:t>לקטינה</w:t>
      </w:r>
      <w:r w:rsidRPr="00093D69">
        <w:rPr>
          <w:rFonts w:ascii="David" w:hAnsi="David" w:cs="David"/>
          <w:b/>
          <w:bCs/>
          <w:i/>
          <w:iCs/>
          <w:sz w:val="24"/>
          <w:szCs w:val="24"/>
          <w:rtl/>
        </w:rPr>
        <w:t xml:space="preserve"> אזרחות אמריקאית בלבד</w:t>
      </w:r>
      <w:r w:rsidRPr="00093D69">
        <w:rPr>
          <w:rFonts w:ascii="David" w:hAnsi="David" w:cs="David"/>
          <w:b/>
          <w:bCs/>
          <w:sz w:val="24"/>
          <w:szCs w:val="24"/>
          <w:rtl/>
        </w:rPr>
        <w:t>.</w:t>
      </w: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האב בעל אזרחות אמריקאית וישראלית, ואילו האם בעלת אזרחות ישראלית; ובאחרונה אף קיבלה אזרחות אמריקאית. </w:t>
      </w:r>
    </w:p>
    <w:p w:rsidR="009B38A4" w:rsidRPr="00093D69" w:rsidRDefault="009B38A4" w:rsidP="00194A30">
      <w:pPr>
        <w:ind w:firstLine="360"/>
        <w:rPr>
          <w:rFonts w:ascii="David" w:hAnsi="David"/>
          <w:b/>
          <w:bCs/>
          <w:u w:val="single"/>
          <w:rtl/>
        </w:rPr>
      </w:pPr>
      <w:r w:rsidRPr="00093D69">
        <w:rPr>
          <w:rFonts w:ascii="David" w:hAnsi="David"/>
          <w:b/>
          <w:bCs/>
          <w:u w:val="single"/>
          <w:rtl/>
        </w:rPr>
        <w:t xml:space="preserve">מסגרת דיונית </w:t>
      </w:r>
    </w:p>
    <w:p w:rsidR="009B38A4" w:rsidRPr="00093D69" w:rsidRDefault="009B38A4" w:rsidP="009B38A4">
      <w:pPr>
        <w:rPr>
          <w:rFonts w:ascii="David" w:hAnsi="David"/>
          <w:b/>
          <w:bCs/>
          <w:u w:val="single"/>
          <w:rtl/>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ביום 13.8.2024 הגיש התובע את התביעה שבכותרת שעניינה השבת הקטינה למקום מגוריה הרגיל בארצות הברית, כנטען על ידו; ובמצורף לה בקשה לקביעת דיון בהול במהלך פגרת בתי המשפט; לאחר קבלת תגובת הנתבעת נקבע מועד דיון וכן ניתנה בהמשך הוראה להגשת כתב תשובה מטעמה.</w:t>
      </w:r>
    </w:p>
    <w:p w:rsidR="009B38A4" w:rsidRPr="00093D69" w:rsidRDefault="009B38A4" w:rsidP="009B38A4">
      <w:pPr>
        <w:pStyle w:val="ad"/>
        <w:spacing w:line="360" w:lineRule="auto"/>
        <w:jc w:val="both"/>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lastRenderedPageBreak/>
        <w:t>בפני בית המשפט התקיימו שלושה דיונים.</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בדיון הראשון מיום 27.8.2024 טענו ב"כ הצדדים ואף הצדדים נשמעו בעצמם; לעניין עדיהם </w:t>
      </w:r>
      <w:r w:rsidRPr="00093D69">
        <w:rPr>
          <w:rFonts w:ascii="David" w:hAnsi="David" w:cs="David"/>
          <w:sz w:val="24"/>
          <w:szCs w:val="24"/>
          <w:u w:val="single"/>
          <w:rtl/>
        </w:rPr>
        <w:t>הצהיר כל צד כי הוא המצהיר היחיד מטעמו;</w:t>
      </w:r>
      <w:r w:rsidRPr="00093D69">
        <w:rPr>
          <w:rFonts w:ascii="David" w:hAnsi="David" w:cs="David"/>
          <w:sz w:val="24"/>
          <w:szCs w:val="24"/>
          <w:rtl/>
        </w:rPr>
        <w:t xml:space="preserve"> ולצורך חקירותיהם התבקש דיון. כך גם עתרה הנתבעת, במסגרת הדיון, למינוי אפוטרופוס לדין וכן למינוי מומחה לאור טענתה בדבר התקיימותו של חריג "הנזק", בהתאם לסעיף 13(ב) לאמנה (כפי שיפורט להלן); התובע התנגד למינויים המבוקשים.</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באותו היום ולאחר קיומו של הדיון ניתנה החלטה משלימה, במסגרתה נעתרתי לבקשה למינויו מומחה מטעם ביהמ"ש ובהתאם מונה ד"ר דניאל גוטליב, אשר התבקש </w:t>
      </w:r>
      <w:proofErr w:type="spellStart"/>
      <w:r w:rsidRPr="00093D69">
        <w:rPr>
          <w:rFonts w:ascii="David" w:hAnsi="David" w:cs="David"/>
          <w:sz w:val="24"/>
          <w:szCs w:val="24"/>
          <w:rtl/>
        </w:rPr>
        <w:t>ליתן</w:t>
      </w:r>
      <w:proofErr w:type="spellEnd"/>
      <w:r w:rsidRPr="00093D69">
        <w:rPr>
          <w:rFonts w:ascii="David" w:hAnsi="David" w:cs="David"/>
          <w:sz w:val="24"/>
          <w:szCs w:val="24"/>
          <w:rtl/>
        </w:rPr>
        <w:t xml:space="preserve"> את חוות דעתו בראי טענות הנתבעת כאמור לעיל, בדבר קיומו של חשש חמור שהחזרת הקטינה לארה"ב תחשוף אותה לנזק פיזי או פסיכולוגי או תעמיד אותה בדרך אחרת במצב בלתי נסבל; כך גם נקבע מועד לשמיעת חקירות הצדדים. יוער, כי בהינתן גילה של הקטינה שטרם מלאו לה שנתיים ימים, לא מצאתי הצדקה למינויו של אפוטרופוס לדין.</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ביום 2.9.2024 התקיים דיון ובו נחקרו הצדדים; ובין היתר אף הסכימו דיונית על צירוף תכתובות </w:t>
      </w:r>
      <w:proofErr w:type="spellStart"/>
      <w:r w:rsidRPr="00093D69">
        <w:rPr>
          <w:rFonts w:ascii="David" w:hAnsi="David" w:cs="David"/>
          <w:sz w:val="24"/>
          <w:szCs w:val="24"/>
          <w:rtl/>
        </w:rPr>
        <w:t>וואטסאפ</w:t>
      </w:r>
      <w:proofErr w:type="spellEnd"/>
      <w:r w:rsidRPr="00093D69">
        <w:rPr>
          <w:rFonts w:ascii="David" w:hAnsi="David" w:cs="David"/>
          <w:sz w:val="24"/>
          <w:szCs w:val="24"/>
          <w:rtl/>
        </w:rPr>
        <w:t xml:space="preserve"> ומסרונים ביניהם החל משנת 2021 ועד למועד פתיחת ההליך, זאת בתוך סד זמנים קצוב שנקבע בהינתן טיב ההליך דנא, כאמור.</w:t>
      </w:r>
    </w:p>
    <w:p w:rsidR="009B38A4" w:rsidRPr="00093D69" w:rsidRDefault="009B38A4" w:rsidP="009B38A4">
      <w:pPr>
        <w:pStyle w:val="ad"/>
        <w:rPr>
          <w:rFonts w:ascii="David" w:hAnsi="David" w:cs="David"/>
          <w:sz w:val="24"/>
          <w:szCs w:val="24"/>
        </w:rPr>
      </w:pPr>
    </w:p>
    <w:p w:rsidR="009B38A4" w:rsidRDefault="009B38A4" w:rsidP="009B38A4">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t>יצוין, כי הצדדים הגישו תכתובות אלקטרוניות ביניהם, בהתאם להחלטה כאמור מיום 2.9.2024 בהיקף נרחב, המונה קרוב ל- 2,000 עמודים בגדרי ההליך.</w:t>
      </w:r>
    </w:p>
    <w:p w:rsidR="00F8403E" w:rsidRPr="00F8403E" w:rsidRDefault="00F8403E" w:rsidP="00F8403E">
      <w:pPr>
        <w:pStyle w:val="ad"/>
        <w:rPr>
          <w:rFonts w:ascii="David" w:hAnsi="David" w:cs="David"/>
          <w:sz w:val="24"/>
          <w:szCs w:val="24"/>
          <w:rtl/>
        </w:rPr>
      </w:pPr>
    </w:p>
    <w:p w:rsidR="00F8403E" w:rsidRDefault="00F8403E" w:rsidP="00F8403E">
      <w:pPr>
        <w:spacing w:line="360" w:lineRule="auto"/>
        <w:jc w:val="both"/>
        <w:rPr>
          <w:rFonts w:ascii="David" w:hAnsi="David"/>
          <w:rtl/>
        </w:rPr>
      </w:pPr>
    </w:p>
    <w:p w:rsidR="00F8403E" w:rsidRDefault="00F8403E" w:rsidP="00F8403E">
      <w:pPr>
        <w:spacing w:line="360" w:lineRule="auto"/>
        <w:jc w:val="both"/>
        <w:rPr>
          <w:rFonts w:ascii="David" w:hAnsi="David"/>
          <w:rtl/>
        </w:rPr>
      </w:pPr>
    </w:p>
    <w:p w:rsidR="00F8403E" w:rsidRDefault="00F8403E" w:rsidP="00F8403E">
      <w:pPr>
        <w:spacing w:line="360" w:lineRule="auto"/>
        <w:jc w:val="both"/>
        <w:rPr>
          <w:rFonts w:ascii="David" w:hAnsi="David"/>
          <w:rtl/>
        </w:rPr>
      </w:pPr>
    </w:p>
    <w:p w:rsidR="00F8403E" w:rsidRPr="00F8403E" w:rsidRDefault="00F8403E" w:rsidP="00F8403E">
      <w:pPr>
        <w:spacing w:line="360" w:lineRule="auto"/>
        <w:jc w:val="both"/>
        <w:rPr>
          <w:rFonts w:ascii="David" w:hAnsi="David"/>
          <w:rtl/>
        </w:rPr>
      </w:pPr>
    </w:p>
    <w:p w:rsidR="00194A30" w:rsidRPr="00093D69" w:rsidRDefault="00194A30"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חוות דעת המומחה הוגשה ביום 9.9.2024 והיא מחזיקה 14 עמודים; ובסופה המלצות המומחה כדלקמן:</w:t>
      </w:r>
    </w:p>
    <w:p w:rsidR="009B38A4" w:rsidRPr="00093D69" w:rsidRDefault="00145DC5" w:rsidP="009B38A4">
      <w:pPr>
        <w:pStyle w:val="ad"/>
        <w:rPr>
          <w:rFonts w:ascii="David" w:hAnsi="David" w:cs="David"/>
          <w:sz w:val="24"/>
          <w:szCs w:val="24"/>
        </w:rPr>
      </w:pPr>
      <w:r w:rsidRPr="00145DC5">
        <w:rPr>
          <w:rFonts w:ascii="David" w:hAnsi="David" w:cs="David"/>
          <w:noProof/>
          <w:sz w:val="24"/>
          <w:szCs w:val="24"/>
          <w:rtl/>
        </w:rPr>
        <w:drawing>
          <wp:inline distT="0" distB="0" distL="0" distR="0" wp14:anchorId="01D19D3A" wp14:editId="031EBF47">
            <wp:extent cx="4220164" cy="4648849"/>
            <wp:effectExtent l="0" t="0" r="9525" b="0"/>
            <wp:docPr id="27" name="תמונה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0164" cy="4648849"/>
                    </a:xfrm>
                    <a:prstGeom prst="rect">
                      <a:avLst/>
                    </a:prstGeom>
                  </pic:spPr>
                </pic:pic>
              </a:graphicData>
            </a:graphic>
          </wp:inline>
        </w:drawing>
      </w:r>
    </w:p>
    <w:p w:rsidR="009B38A4" w:rsidRPr="00093D69" w:rsidRDefault="009B38A4" w:rsidP="00145DC5">
      <w:pPr>
        <w:pStyle w:val="ad"/>
        <w:spacing w:line="360" w:lineRule="auto"/>
        <w:jc w:val="both"/>
        <w:rPr>
          <w:rFonts w:ascii="David" w:hAnsi="David" w:cs="David"/>
          <w:sz w:val="24"/>
          <w:szCs w:val="24"/>
        </w:rPr>
      </w:pPr>
      <w:r w:rsidRPr="00093D69">
        <w:rPr>
          <w:rFonts w:ascii="David" w:hAnsi="David" w:cs="David"/>
          <w:noProof/>
          <w:sz w:val="24"/>
          <w:szCs w:val="24"/>
        </w:rPr>
        <w:lastRenderedPageBreak/>
        <w:drawing>
          <wp:inline distT="0" distB="0" distL="0" distR="0">
            <wp:extent cx="4220210" cy="1026543"/>
            <wp:effectExtent l="0" t="0" r="0" b="254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6315" cy="1030460"/>
                    </a:xfrm>
                    <a:prstGeom prst="rect">
                      <a:avLst/>
                    </a:prstGeom>
                    <a:noFill/>
                    <a:ln>
                      <a:noFill/>
                    </a:ln>
                  </pic:spPr>
                </pic:pic>
              </a:graphicData>
            </a:graphic>
          </wp:inline>
        </w:drawing>
      </w:r>
    </w:p>
    <w:p w:rsidR="009B38A4" w:rsidRPr="00093D69" w:rsidRDefault="009B38A4" w:rsidP="009B38A4">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t>לאחר קבלת חוות דעת המומחה עתרה הנתבעת לחקירתו; התובע התנגד וחרף התנגדותו נעתרתי למבוקש ונקבע דיון ליום 15.9.2024 לצורך חקירתו; בתום הדיון ניתן צו לסיכומים בסד זמנים קצר, בהינתן טיב ההליך, ומשאלו הוגשו, ניתנת בזאת הכרעתי.</w:t>
      </w:r>
    </w:p>
    <w:p w:rsidR="009B38A4" w:rsidRPr="00093D69" w:rsidRDefault="009B38A4" w:rsidP="009B38A4">
      <w:pPr>
        <w:pStyle w:val="ad"/>
        <w:spacing w:line="360" w:lineRule="auto"/>
        <w:jc w:val="both"/>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t xml:space="preserve">להשלמת התמונה הדיונית, יצוין, כי טרם פתיחתו של הליך זה ועוד בחודש אפריל 2024 הגישה הנתבעת לבית המשפט דכאן מספר הליכים, ובהם בקשה לקביעת פורום נאות במסגרת </w:t>
      </w:r>
      <w:proofErr w:type="spellStart"/>
      <w:r w:rsidRPr="00093D69">
        <w:rPr>
          <w:rFonts w:ascii="David" w:hAnsi="David" w:cs="David"/>
          <w:sz w:val="24"/>
          <w:szCs w:val="24"/>
          <w:rtl/>
        </w:rPr>
        <w:t>תמ"ש</w:t>
      </w:r>
      <w:proofErr w:type="spellEnd"/>
      <w:r w:rsidRPr="00093D69">
        <w:rPr>
          <w:rFonts w:ascii="David" w:hAnsi="David" w:cs="David"/>
          <w:sz w:val="24"/>
          <w:szCs w:val="24"/>
          <w:rtl/>
        </w:rPr>
        <w:t xml:space="preserve"> 8278-04-24 מיום 3.4.2024, הליך </w:t>
      </w:r>
      <w:proofErr w:type="spellStart"/>
      <w:r w:rsidRPr="00093D69">
        <w:rPr>
          <w:rFonts w:ascii="David" w:hAnsi="David" w:cs="David"/>
          <w:sz w:val="24"/>
          <w:szCs w:val="24"/>
          <w:rtl/>
        </w:rPr>
        <w:t>י"ס</w:t>
      </w:r>
      <w:proofErr w:type="spellEnd"/>
      <w:r w:rsidRPr="00093D69">
        <w:rPr>
          <w:rFonts w:ascii="David" w:hAnsi="David" w:cs="David"/>
          <w:sz w:val="24"/>
          <w:szCs w:val="24"/>
          <w:rtl/>
        </w:rPr>
        <w:t xml:space="preserve"> מס' 22131-04-24 שנפתח ביום 9.4.2024 ובו הוגשה בשנית בקשתה לקביעת פורום נאות, הליך בעניין קטין שהוגש ביום 11.4.2024 (תלה"מ 28314-04-24), במסגרתו עתרה לקביעת משמורת הקטינה בידיה. כמו כן, הוגש הליך בעניין הגירה מיום 11.4.2024 (תלה"מ 28277-04-24), במסגרתו עתרה למתן צו המאפשר את הגירת הקטינה והנתבעת לישראל.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הנתבעת עתרה לקבלת היתר להמצאה מחוץ לתחום ובהתאם להחלטה מיום 3.7.2024, פעלה להמצאת כתבי הטענות לידיו של התובע. במסגרת ההליכים שפתחה הנתבעת כנגד התובע, הגיש התובע בקשה להשהיית הליכים ולמתן ארכה להגשת כתבי הגנה מטעמו ואלו טרם הוגשו לתיק. </w:t>
      </w:r>
    </w:p>
    <w:p w:rsidR="009B38A4" w:rsidRPr="00093D69" w:rsidRDefault="009B38A4" w:rsidP="009B38A4">
      <w:pPr>
        <w:rPr>
          <w:rFonts w:ascii="David" w:hAnsi="David"/>
          <w:b/>
          <w:bCs/>
          <w:u w:val="single"/>
        </w:rPr>
      </w:pPr>
    </w:p>
    <w:p w:rsidR="009B38A4" w:rsidRPr="00093D69" w:rsidRDefault="009B38A4" w:rsidP="00194A30">
      <w:pPr>
        <w:ind w:firstLine="360"/>
        <w:rPr>
          <w:rFonts w:ascii="David" w:hAnsi="David"/>
          <w:b/>
          <w:bCs/>
          <w:u w:val="single"/>
          <w:rtl/>
        </w:rPr>
      </w:pPr>
      <w:r w:rsidRPr="00093D69">
        <w:rPr>
          <w:rFonts w:ascii="David" w:hAnsi="David"/>
          <w:b/>
          <w:bCs/>
          <w:u w:val="single"/>
          <w:rtl/>
        </w:rPr>
        <w:t>טענות הצדדים בעיקרן</w:t>
      </w:r>
    </w:p>
    <w:p w:rsidR="009B38A4" w:rsidRPr="00093D69" w:rsidRDefault="009B38A4" w:rsidP="009B38A4">
      <w:pPr>
        <w:rPr>
          <w:rFonts w:ascii="David" w:hAnsi="David"/>
          <w:b/>
          <w:bCs/>
          <w:u w:val="single"/>
          <w:rtl/>
        </w:rPr>
      </w:pPr>
    </w:p>
    <w:p w:rsidR="009B38A4" w:rsidRPr="00093D69" w:rsidRDefault="009B38A4" w:rsidP="009B38A4">
      <w:pPr>
        <w:ind w:firstLine="360"/>
        <w:rPr>
          <w:rFonts w:ascii="David" w:hAnsi="David"/>
          <w:b/>
          <w:bCs/>
          <w:u w:val="single"/>
          <w:rtl/>
        </w:rPr>
      </w:pPr>
      <w:r w:rsidRPr="00093D69">
        <w:rPr>
          <w:rFonts w:ascii="David" w:hAnsi="David"/>
          <w:b/>
          <w:bCs/>
          <w:u w:val="single"/>
          <w:rtl/>
        </w:rPr>
        <w:lastRenderedPageBreak/>
        <w:t>התובע</w:t>
      </w: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יש להורות על העברת הקטינה לרשותו לשם החזרתה למקום מגוריה בארה"ב. בתוך כך, יש לקבוע, כי הרחקת הקטינה ע"י הנתבעת נעשתה שלא כדין, ולחייב את הנתבעת בכל ההוצאות המשפטיות שנגרמו לתובע בגין הרחקת הקטינה ממנו. </w:t>
      </w:r>
    </w:p>
    <w:p w:rsidR="009B38A4" w:rsidRPr="00093D69" w:rsidRDefault="009B38A4" w:rsidP="009B38A4">
      <w:pPr>
        <w:pStyle w:val="ad"/>
        <w:spacing w:line="360" w:lineRule="auto"/>
        <w:jc w:val="both"/>
        <w:rPr>
          <w:rFonts w:ascii="David" w:hAnsi="David" w:cs="David"/>
          <w:sz w:val="24"/>
          <w:szCs w:val="24"/>
        </w:rPr>
      </w:pPr>
      <w:r w:rsidRPr="00093D69">
        <w:rPr>
          <w:rFonts w:ascii="David" w:hAnsi="David" w:cs="David"/>
          <w:sz w:val="24"/>
          <w:szCs w:val="24"/>
          <w:rtl/>
        </w:rPr>
        <w:t xml:space="preserve"> </w:t>
      </w:r>
    </w:p>
    <w:p w:rsidR="009B38A4" w:rsidRPr="00093D69" w:rsidRDefault="009B38A4" w:rsidP="009B38A4">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t xml:space="preserve">הצדדים הכירו בשנת 2016 בניו יורק; לאחר כשנה, החליטו כי הנתבעת תעתיק את מגוריה לארה"ב, שם נישאו אחרי תקופה קצרה. עוד טרם נישואיהם, סייע התובע לנתבעת בתהליך להנפקת גרין כארד ולשם כך נשא בתשלום של 1,460$. </w:t>
      </w:r>
    </w:p>
    <w:p w:rsidR="009B38A4" w:rsidRPr="00093D69" w:rsidRDefault="009B38A4" w:rsidP="009B38A4">
      <w:pPr>
        <w:pStyle w:val="ad"/>
        <w:spacing w:line="360" w:lineRule="auto"/>
        <w:jc w:val="both"/>
        <w:rPr>
          <w:rFonts w:ascii="David" w:hAnsi="David" w:cs="David"/>
          <w:sz w:val="24"/>
          <w:szCs w:val="24"/>
        </w:rPr>
      </w:pPr>
    </w:p>
    <w:p w:rsidR="009B38A4" w:rsidRPr="00093D69" w:rsidRDefault="009B38A4" w:rsidP="00F3613D">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t xml:space="preserve">לאחר הנישואין נודע, כי לנתבעת בעיות פוריות חמורות ועל כן פנו הצדדים לקבלת תרומת ביצית; כאשר לאחר </w:t>
      </w:r>
      <w:r w:rsidR="00F3613D" w:rsidRPr="00093D69">
        <w:rPr>
          <w:rFonts w:ascii="David" w:hAnsi="David" w:cs="David"/>
          <w:sz w:val="24"/>
          <w:szCs w:val="24"/>
        </w:rPr>
        <w:t>x</w:t>
      </w:r>
      <w:r w:rsidRPr="00093D69">
        <w:rPr>
          <w:rFonts w:ascii="David" w:hAnsi="David" w:cs="David"/>
          <w:sz w:val="24"/>
          <w:szCs w:val="24"/>
          <w:rtl/>
        </w:rPr>
        <w:t xml:space="preserve"> ניסיונות של החזרת עוברים, הרתה הנתבעת והקטינה נולדה בשעה טובה בניתוח קיסרי. התובע נטל חלק בלתי נפרד מהתהליך אשר היה כרוך בסכומי עתק, </w:t>
      </w:r>
      <w:r w:rsidRPr="00093D69">
        <w:rPr>
          <w:rFonts w:ascii="David" w:hAnsi="David" w:cs="David"/>
          <w:sz w:val="24"/>
          <w:szCs w:val="24"/>
          <w:rtl/>
        </w:rPr>
        <w:br/>
        <w:t xml:space="preserve">כ-200,000$ עד להולדתה של הקטינה, וזאת כביטוי לרצונו העז להקים בית עם הנתבעת. </w:t>
      </w:r>
    </w:p>
    <w:p w:rsidR="009B38A4" w:rsidRPr="00093D69" w:rsidRDefault="009B38A4" w:rsidP="009B38A4">
      <w:pPr>
        <w:pStyle w:val="ad"/>
        <w:rPr>
          <w:rFonts w:ascii="David" w:hAnsi="David" w:cs="David"/>
          <w:sz w:val="24"/>
          <w:szCs w:val="24"/>
        </w:rPr>
      </w:pPr>
    </w:p>
    <w:p w:rsidR="009B38A4" w:rsidRPr="00093D69" w:rsidRDefault="00F8403E" w:rsidP="00F8403E">
      <w:pPr>
        <w:pStyle w:val="ad"/>
        <w:numPr>
          <w:ilvl w:val="0"/>
          <w:numId w:val="1"/>
        </w:numPr>
        <w:spacing w:line="360" w:lineRule="auto"/>
        <w:jc w:val="both"/>
        <w:rPr>
          <w:rFonts w:ascii="David" w:hAnsi="David" w:cs="David"/>
          <w:sz w:val="24"/>
          <w:szCs w:val="24"/>
          <w:rtl/>
        </w:rPr>
      </w:pPr>
      <w:r>
        <w:rPr>
          <w:rFonts w:ascii="David" w:hAnsi="David" w:cs="David"/>
          <w:sz w:val="24"/>
          <w:szCs w:val="24"/>
          <w:rtl/>
        </w:rPr>
        <w:t>לתובע</w:t>
      </w:r>
      <w:r>
        <w:rPr>
          <w:rFonts w:ascii="David" w:hAnsi="David" w:cs="David" w:hint="cs"/>
          <w:sz w:val="24"/>
          <w:szCs w:val="24"/>
          <w:rtl/>
        </w:rPr>
        <w:t xml:space="preserve"> --</w:t>
      </w:r>
      <w:r w:rsidR="009B38A4" w:rsidRPr="00093D69">
        <w:rPr>
          <w:rFonts w:ascii="David" w:hAnsi="David" w:cs="David"/>
          <w:sz w:val="24"/>
          <w:szCs w:val="24"/>
          <w:rtl/>
        </w:rPr>
        <w:t xml:space="preserve"> ילדים בגירים ונשואים מנישואיו הראשונים ולו אף נכדים. מיום הולדת הקטינה נטל חלק פעיל בגידולה. בשל חוסר ניסיונה של הנתבעת, נאלץ לשכור את שירותיה של אחות מוסמכת שנהגה להגיע לבית הצדדים במשך כחודשיים לערך.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lastRenderedPageBreak/>
        <w:t>לתובע התגלה, כי מצבה הנפשי של הנתבעת אינו יציב, ולאחר שנחשף ליומנים שניהלה בשנים האחרונות גילה, כי כל צעדיה היו מתוכננים בקפידה. כך גם נהגה לעשות שימוש בקמעות ולפעול לפי הנחיות של מגדת או נשים המייחסות לעצמן כוחות כישוף כדי לקדם את רצונותיה.</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בשנת 2022 ניסתה הנתבעת לגזול ממנו כספים במרמה, כאשר זייפה את חתימותיו על שיקים בסכומים גבוהים, אולם אלו לא התקבלו בבנק. </w:t>
      </w:r>
    </w:p>
    <w:p w:rsidR="009B38A4" w:rsidRPr="00093D69" w:rsidRDefault="00A31A23" w:rsidP="00A31A23">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במהלך חודש מרץ </w:t>
      </w:r>
      <w:r w:rsidR="009B38A4" w:rsidRPr="00093D69">
        <w:rPr>
          <w:rFonts w:ascii="David" w:hAnsi="David" w:cs="David"/>
          <w:sz w:val="24"/>
          <w:szCs w:val="24"/>
          <w:rtl/>
        </w:rPr>
        <w:t xml:space="preserve">2024 הודיעה הנתבעת בהודעת </w:t>
      </w:r>
      <w:r w:rsidR="009B38A4" w:rsidRPr="00093D69">
        <w:rPr>
          <w:rFonts w:ascii="David" w:hAnsi="David" w:cs="David"/>
          <w:sz w:val="24"/>
          <w:szCs w:val="24"/>
        </w:rPr>
        <w:t>SMS</w:t>
      </w:r>
      <w:r w:rsidR="009B38A4" w:rsidRPr="00093D69">
        <w:rPr>
          <w:rFonts w:ascii="David" w:hAnsi="David" w:cs="David"/>
          <w:sz w:val="24"/>
          <w:szCs w:val="24"/>
          <w:rtl/>
        </w:rPr>
        <w:t>, כי היא טסה לחו"ל. התובע הבהיר לה כי אין בעיה שתטוס, אולם על הקטינה להישאר בארה"ב. בדיעבד נודע לו, כי ההודעה נשלחה לאחר שהנתבעת כבר הייתה על המטוס. הנתבע ציין בפני הנתבעת, כי מדובר בחטיפת הקטינה אולם זו לא שעתה לפניותיו.</w:t>
      </w:r>
    </w:p>
    <w:p w:rsidR="009B38A4" w:rsidRPr="00093D69" w:rsidRDefault="009B38A4" w:rsidP="009B38A4">
      <w:pPr>
        <w:pStyle w:val="ad"/>
        <w:rPr>
          <w:rFonts w:ascii="David" w:hAnsi="David" w:cs="David"/>
          <w:sz w:val="24"/>
          <w:szCs w:val="24"/>
        </w:rPr>
      </w:pPr>
    </w:p>
    <w:p w:rsidR="009B38A4" w:rsidRPr="00093D69" w:rsidRDefault="009B38A4" w:rsidP="00A31A23">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הנתבעת השלתה אותו, כי בכל רגע היא תשוב לארה"ב, וזאת במטרה "להרדים" אותו ואפילו ביקשה את פרטי האשראי שלו לצורך רישום הקטינה למסגרת חינוכית בארה"ב; אולם התברר, כי המדובר בשקר גס. בביקורו בישראל ב</w:t>
      </w:r>
      <w:r w:rsidR="00A31A23" w:rsidRPr="00093D69">
        <w:rPr>
          <w:rFonts w:ascii="David" w:hAnsi="David" w:cs="David"/>
          <w:sz w:val="24"/>
          <w:szCs w:val="24"/>
          <w:rtl/>
        </w:rPr>
        <w:t>מהלך חודש אפריל 2024</w:t>
      </w:r>
      <w:r w:rsidRPr="00093D69">
        <w:rPr>
          <w:rFonts w:ascii="David" w:hAnsi="David" w:cs="David"/>
          <w:sz w:val="24"/>
          <w:szCs w:val="24"/>
          <w:rtl/>
        </w:rPr>
        <w:t xml:space="preserve"> סירבה הנתבעת לאפשר לו לפגוש את הקטינה, בטענה כי הוא יכול להגיע רק בליווי שוטרים. </w:t>
      </w:r>
    </w:p>
    <w:p w:rsidR="009B38A4" w:rsidRPr="00093D69" w:rsidRDefault="009B38A4" w:rsidP="009B38A4">
      <w:pPr>
        <w:pStyle w:val="ad"/>
        <w:rPr>
          <w:rFonts w:ascii="David" w:hAnsi="David" w:cs="David"/>
          <w:sz w:val="24"/>
          <w:szCs w:val="24"/>
        </w:rPr>
      </w:pPr>
    </w:p>
    <w:p w:rsidR="009B38A4" w:rsidRPr="00093D69" w:rsidRDefault="009B38A4" w:rsidP="00F3613D">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התובע חי את חייו בארה"ב מזה </w:t>
      </w:r>
      <w:r w:rsidR="00F3613D" w:rsidRPr="00093D69">
        <w:rPr>
          <w:rFonts w:ascii="David" w:hAnsi="David" w:cs="David"/>
          <w:sz w:val="24"/>
          <w:szCs w:val="24"/>
          <w:rtl/>
        </w:rPr>
        <w:t>כ-30</w:t>
      </w:r>
      <w:r w:rsidRPr="00093D69">
        <w:rPr>
          <w:rFonts w:ascii="David" w:hAnsi="David" w:cs="David"/>
          <w:sz w:val="24"/>
          <w:szCs w:val="24"/>
          <w:rtl/>
        </w:rPr>
        <w:t xml:space="preserve"> שנה, שם נישא והוליד את ילדיו, מנהל עסק נדל"ן ושם מתגוררים אמו ואחיו. אין לו כוונה להעתיק את מגוריו לישראל או לנתק את הקשר בינו לבין הקטינה, עת יתגוררו במדינות שונות. לאחר עזיבת הנתבעת התברר, כי גנבה תכשיטים בשווי של 350,000$.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לא ניתן להתעלם </w:t>
      </w:r>
      <w:r w:rsidR="00115031">
        <w:rPr>
          <w:rFonts w:ascii="David" w:hAnsi="David" w:cs="David" w:hint="cs"/>
          <w:sz w:val="24"/>
          <w:szCs w:val="24"/>
          <w:rtl/>
        </w:rPr>
        <w:t>.</w:t>
      </w:r>
      <w:r w:rsidRPr="00093D69">
        <w:rPr>
          <w:rFonts w:ascii="David" w:hAnsi="David" w:cs="David"/>
          <w:sz w:val="24"/>
          <w:szCs w:val="24"/>
          <w:rtl/>
        </w:rPr>
        <w:t xml:space="preserve">מהתנהלותה האגרסיבית של הנתבעת שבאופן חד צדדי חטפה את הקטינה לישראל, ומאז הגישה תביעה לקביעת משמורת וכן תביעת הגירה לשלילת הורותו של התובע ולניתוקו מהקטינה.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התובע פעל נמרצות להשבת הקטינה מעת שהבין, כי אין בכוונת הנתבעת להשיב אותה לארה"ב. בשל העובדה, כי חלפו רק חודשים מספר מעת הרחקתה של הקטינה ע"י הנתבעת, יש להורות כמבוקש על החזרתה מכוח חוק אמנת האג.</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אם תחליט הנתבעת, כי היא שבה לארה"ב עם הקטינה, ינהלו הצדדים שם הליכים בהתאם לחוק הקיים במקום.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u w:val="single"/>
          <w:rtl/>
        </w:rPr>
        <w:t>בסיכומיו</w:t>
      </w:r>
      <w:r w:rsidRPr="00093D69">
        <w:rPr>
          <w:rFonts w:ascii="David" w:hAnsi="David" w:cs="David"/>
          <w:sz w:val="24"/>
          <w:szCs w:val="24"/>
          <w:rtl/>
        </w:rPr>
        <w:t xml:space="preserve"> הוסיף, כי הנתבעת תכננה את חטיפת הקטינה באופן בוטה ותוך תכנון מראש. לאחר מאמצים כבירים לחיפוש עו"ד, הוא נטל ייצוג משפטי ואז הגיש את התביעה הנ"ל.</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למרבה הצער, התובע פגש בקטינה רק בחלוף חמישה חודשים, ביום 27.8.2024, לאחר שניתנה החלטה שיפוטית המורה על כך.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ניסיון הנתבעת להשלות את התובע באה לידי ביטוי גם בחוות דעת המומחה, שם צוין, כי הנתבעת אמרה לו שבכוונתה לחזור לארה"ב וכי מטרת הביקור הייתה רק לבקר את הוריה החולים בישראל.</w:t>
      </w:r>
    </w:p>
    <w:p w:rsidR="009B38A4" w:rsidRPr="00093D69" w:rsidRDefault="009B38A4" w:rsidP="009B38A4">
      <w:pPr>
        <w:pStyle w:val="ad"/>
        <w:rPr>
          <w:rFonts w:ascii="David" w:hAnsi="David" w:cs="David"/>
          <w:sz w:val="24"/>
          <w:szCs w:val="24"/>
        </w:rPr>
      </w:pPr>
    </w:p>
    <w:p w:rsidR="009B38A4" w:rsidRPr="00093D69" w:rsidRDefault="009B38A4" w:rsidP="00A31A23">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lastRenderedPageBreak/>
        <w:t>כלל טענות הנתבעת אודות התנהגותו האלימה של התובע וכן נטילת סמים על ידו הופרכו במסגרת דיון ההוכחות שהתנהל, עת הובהר כי הוא נוטל כדורי</w:t>
      </w:r>
      <w:r w:rsidR="00A31A23" w:rsidRPr="00093D69">
        <w:rPr>
          <w:rFonts w:ascii="David" w:hAnsi="David" w:cs="David"/>
          <w:sz w:val="24"/>
          <w:szCs w:val="24"/>
          <w:rtl/>
        </w:rPr>
        <w:t>ם נגד חרדה בשל הניתוח הקשה שעבר.</w:t>
      </w:r>
    </w:p>
    <w:p w:rsidR="009B38A4" w:rsidRPr="00093D69" w:rsidRDefault="009B38A4" w:rsidP="009B38A4">
      <w:pPr>
        <w:pStyle w:val="ad"/>
        <w:rPr>
          <w:rFonts w:ascii="David" w:hAnsi="David" w:cs="David"/>
          <w:sz w:val="24"/>
          <w:szCs w:val="24"/>
        </w:rPr>
      </w:pPr>
    </w:p>
    <w:p w:rsidR="009B38A4" w:rsidRPr="00093D69" w:rsidRDefault="009B38A4" w:rsidP="0012370C">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כך גם ניסיון הנתבעת להציג את עצמה כמי שסובלת מסינדרום "האישה המוכה" כשל, כאשר הובהר כי במשך חיי הנישואין חיה הנתבעת על חשבון התובע ועשתה שימוש קבוע ב-4 כרטיסי אשראי בסכומים מופרזים העולים על סך של כ-8,000$ בחודש. הצדדים נהגו אף לטוס לחופשות בחו"ל ושהו בבתי מלון יקרים, הנתבעת נהגה על רכב יוקרה מסוג </w:t>
      </w:r>
      <w:r w:rsidR="0012370C" w:rsidRPr="00093D69">
        <w:rPr>
          <w:rFonts w:ascii="David" w:hAnsi="David" w:cs="David"/>
          <w:sz w:val="24"/>
          <w:szCs w:val="24"/>
        </w:rPr>
        <w:t>x</w:t>
      </w:r>
      <w:r w:rsidRPr="00093D69">
        <w:rPr>
          <w:rFonts w:ascii="David" w:hAnsi="David" w:cs="David"/>
          <w:sz w:val="24"/>
          <w:szCs w:val="24"/>
          <w:rtl/>
        </w:rPr>
        <w:t xml:space="preserve">.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הנתבעת אישרה, כי לא שיתפה את הסביבה אודות טענותיה על האלימות שחוותה ואף לא פעלה להגשת צו הגנה או תלונה במשטרה. כך או כך, לא הועלו מצידה טענות לאלימות מצד התובע כלפי הקטינה.</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בחוות דעת המומחה הוכח, כי בין האב לקטינה קשר טוב ואוהב, מכאן כי אין כל מקום לטענה, כי הוא מהווה סכנה לקטינה. בהתאם לכך, קבע המומחה, כי אין כל מניעה בהחזרתה של הקטינה לארה"ב.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בהינתן אופייה של מערכת היחסים שהתנהלה בין הצדדים, לשניהם פרק ב', בגילאים המדוברים ולאור ההשקעה המרובה שנעשתה לצורך הבאת הקטינה לעולם, ברי כי לנתבעת עמדו אפשרויות רבות להביא לסיומה של מערכת היחסים, אולם הדבר מלמד כי טענותיה כנגד התובע הינן תולדה של הליכים אלו בלבד. </w:t>
      </w:r>
    </w:p>
    <w:p w:rsidR="009B38A4" w:rsidRPr="00093D69" w:rsidRDefault="009B38A4" w:rsidP="009B38A4">
      <w:pPr>
        <w:pStyle w:val="ad"/>
        <w:rPr>
          <w:rFonts w:ascii="David" w:hAnsi="David" w:cs="David"/>
          <w:sz w:val="24"/>
          <w:szCs w:val="24"/>
        </w:rPr>
      </w:pPr>
    </w:p>
    <w:p w:rsidR="009B38A4" w:rsidRPr="00093D69" w:rsidRDefault="009B38A4" w:rsidP="00A31A23">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lastRenderedPageBreak/>
        <w:t xml:space="preserve">הנתבעת הרבתה לטעון כי היא לבד בארה"ב, אולם גם כאן התגלה השקר מצידה, כשזו לא פירטה את העובדה, כי אחיה וגיסתה גרים שם עם </w:t>
      </w:r>
      <w:r w:rsidR="00A31A23" w:rsidRPr="00093D69">
        <w:rPr>
          <w:rFonts w:ascii="David" w:hAnsi="David" w:cs="David"/>
          <w:sz w:val="24"/>
          <w:szCs w:val="24"/>
          <w:rtl/>
        </w:rPr>
        <w:t>ילדיהם</w:t>
      </w:r>
      <w:r w:rsidRPr="00093D69">
        <w:rPr>
          <w:rFonts w:ascii="David" w:hAnsi="David" w:cs="David"/>
          <w:sz w:val="24"/>
          <w:szCs w:val="24"/>
          <w:rtl/>
        </w:rPr>
        <w:t xml:space="preserve">. מחוות דעת המומחה עולות אנקדוטות בדבר חוסר מהימנותה וכן היעדר יציבות מזגה של האם.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לעניין טענות הנתבעת אודות מעברי המגורים התכופים שהיו מנת חלקם של הצדדים, ברי כי המדובר בדבר מקובל וידוע בארה"ב, וכאשר גם לנתבעת היה חלק בזה ואף אין בכך לסכן את הקטינה, ככל והצדדים יגורו בנפרד. </w:t>
      </w:r>
    </w:p>
    <w:p w:rsidR="009B38A4" w:rsidRPr="00093D69" w:rsidRDefault="009B38A4" w:rsidP="009B38A4">
      <w:pPr>
        <w:pStyle w:val="ad"/>
        <w:rPr>
          <w:rFonts w:ascii="David" w:hAnsi="David" w:cs="David"/>
          <w:sz w:val="24"/>
          <w:szCs w:val="24"/>
        </w:rPr>
      </w:pPr>
    </w:p>
    <w:p w:rsidR="009B38A4" w:rsidRPr="00093D69" w:rsidRDefault="009B38A4" w:rsidP="00A31A23">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התובע מסכים לדאוג למימון מדורה של הקטינה באופן מלא, משך 9 חודשים, כאשר מציע שהיא תגור עם הנתבעת באחת מדירותיו </w:t>
      </w:r>
      <w:r w:rsidR="00A31A23" w:rsidRPr="00093D69">
        <w:rPr>
          <w:rFonts w:ascii="David" w:hAnsi="David" w:cs="David"/>
          <w:sz w:val="24"/>
          <w:szCs w:val="24"/>
          <w:rtl/>
        </w:rPr>
        <w:t>בניו יורק.</w:t>
      </w:r>
      <w:r w:rsidRPr="00093D69">
        <w:rPr>
          <w:rFonts w:ascii="David" w:hAnsi="David" w:cs="David"/>
          <w:sz w:val="24"/>
          <w:szCs w:val="24"/>
          <w:rtl/>
        </w:rPr>
        <w:t xml:space="preserve"> לאור זאת יש להורות על החזרתה </w:t>
      </w:r>
      <w:proofErr w:type="spellStart"/>
      <w:r w:rsidRPr="00093D69">
        <w:rPr>
          <w:rFonts w:ascii="David" w:hAnsi="David" w:cs="David"/>
          <w:sz w:val="24"/>
          <w:szCs w:val="24"/>
          <w:rtl/>
        </w:rPr>
        <w:t>המיידית</w:t>
      </w:r>
      <w:proofErr w:type="spellEnd"/>
      <w:r w:rsidRPr="00093D69">
        <w:rPr>
          <w:rFonts w:ascii="David" w:hAnsi="David" w:cs="David"/>
          <w:sz w:val="24"/>
          <w:szCs w:val="24"/>
          <w:rtl/>
        </w:rPr>
        <w:t xml:space="preserve"> של הקטינה עם הנתבעת לארה"ב או להורות כי יקבל את הקטינה לחזקתו וישוב אותה למקום מגוריהם. </w:t>
      </w:r>
    </w:p>
    <w:p w:rsidR="009B38A4" w:rsidRPr="00093D69" w:rsidRDefault="009B38A4" w:rsidP="009B38A4">
      <w:pPr>
        <w:pStyle w:val="ad"/>
        <w:rPr>
          <w:rFonts w:ascii="David" w:hAnsi="David" w:cs="David"/>
          <w:sz w:val="24"/>
          <w:szCs w:val="24"/>
          <w:rtl/>
        </w:rPr>
      </w:pPr>
    </w:p>
    <w:p w:rsidR="00194A30" w:rsidRPr="00093D69" w:rsidRDefault="00194A30" w:rsidP="009B38A4">
      <w:pPr>
        <w:pStyle w:val="ad"/>
        <w:rPr>
          <w:rFonts w:ascii="David" w:hAnsi="David" w:cs="David"/>
          <w:sz w:val="24"/>
          <w:szCs w:val="24"/>
          <w:rtl/>
        </w:rPr>
      </w:pPr>
    </w:p>
    <w:p w:rsidR="00194A30" w:rsidRPr="00093D69" w:rsidRDefault="00194A30" w:rsidP="009B38A4">
      <w:pPr>
        <w:pStyle w:val="ad"/>
        <w:rPr>
          <w:rFonts w:ascii="David" w:hAnsi="David" w:cs="David"/>
          <w:sz w:val="24"/>
          <w:szCs w:val="24"/>
        </w:rPr>
      </w:pPr>
    </w:p>
    <w:p w:rsidR="009B38A4" w:rsidRPr="00093D69" w:rsidRDefault="009B38A4" w:rsidP="009B38A4">
      <w:pPr>
        <w:ind w:firstLine="360"/>
        <w:rPr>
          <w:rFonts w:ascii="David" w:hAnsi="David"/>
          <w:b/>
          <w:bCs/>
          <w:u w:val="single"/>
          <w:rtl/>
        </w:rPr>
      </w:pPr>
      <w:r w:rsidRPr="00093D69">
        <w:rPr>
          <w:rFonts w:ascii="David" w:hAnsi="David"/>
          <w:b/>
          <w:bCs/>
          <w:u w:val="single"/>
          <w:rtl/>
        </w:rPr>
        <w:t>הנתבעת</w:t>
      </w: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אין המדובר בחטיפה בהתאם לאמנת האג ויש להורות על דחיית התובענה. התובע לא עמד בדרישה הראשונית העומדת לו והיא הצגת זכויות משמורת לפי ס' 3 לאמנה. אף אם נתגבר על משוכה זו, הרי במקרה דנן מתקיימים החריגים הקבועים בס' 13 ובס' 12 לחוק אמנת האג, לפיהם השלים התובע עם הגעת הקטינה לארץ וכאשר החזרתה של הקטינה לחו"ל כרוכה בסיכון רב ותסב לה נזקים חמורים. </w:t>
      </w:r>
    </w:p>
    <w:p w:rsidR="009B38A4" w:rsidRPr="00093D69" w:rsidRDefault="009B38A4" w:rsidP="009B38A4">
      <w:pPr>
        <w:pStyle w:val="ad"/>
        <w:spacing w:line="360" w:lineRule="auto"/>
        <w:jc w:val="both"/>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lastRenderedPageBreak/>
        <w:t xml:space="preserve">הנתבעת והקטינה עברו בארה"ב התעללות והיו חשופות לאלימות מצדו של התובע, אשר מכור לסמים מסוכנים, אינו יציב מבחינה נפשית, הסתבך בפלילים ונגדו מתנהלים אף הליכים אזרחיים כדוגמת תביעות פינוי. הנתבעת נדרשה להתחנן בפניו על מנת שיביא לה כסף לסיפוק צרכיה הבסיסיים. כמו כן, הוא דאג לבודד אותה חברתית והיה מותיר אותה עם התינוקת ימים כלילות אף בסופי שבוע וחגים. כל משפחתה של הנתבעת בישראל, כך שרק כאן היא תצליח להשתקם ולגדל את הקטינה בכבוד.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התובע לא נקט בשום פעולה משך חצי שנה, מכאן שהוא השלים עם מגוריה של הקטינה בישראל. התובע קיבל לידיו את כתבי בי הדין של תביעת ההגירה והמשמורת שהגישה הנתבעת, במייל כבר בחודש אפריל, אולם לא עשה דבר. גם בביקורו בארץ בחודש אפריל, לא טרח לבוא לבקר את הקטינה.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לאחר הולדת הקטינה, החלה הנתבעת לסבול מאלימות נפשית ופיזית מצד התובע. גם בני משפחתו של התובע, נהגו להכפיש אותה וסרבו לכל קשר </w:t>
      </w:r>
      <w:proofErr w:type="spellStart"/>
      <w:r w:rsidRPr="00093D69">
        <w:rPr>
          <w:rFonts w:ascii="David" w:hAnsi="David" w:cs="David"/>
          <w:sz w:val="24"/>
          <w:szCs w:val="24"/>
          <w:rtl/>
        </w:rPr>
        <w:t>איתה</w:t>
      </w:r>
      <w:proofErr w:type="spellEnd"/>
      <w:r w:rsidRPr="00093D69">
        <w:rPr>
          <w:rFonts w:ascii="David" w:hAnsi="David" w:cs="David"/>
          <w:sz w:val="24"/>
          <w:szCs w:val="24"/>
          <w:rtl/>
        </w:rPr>
        <w:t xml:space="preserve">. </w:t>
      </w:r>
    </w:p>
    <w:p w:rsidR="009B38A4" w:rsidRPr="00093D69" w:rsidRDefault="009B38A4" w:rsidP="009B38A4">
      <w:pPr>
        <w:pStyle w:val="ad"/>
        <w:rPr>
          <w:rFonts w:ascii="David" w:hAnsi="David" w:cs="David"/>
          <w:sz w:val="24"/>
          <w:szCs w:val="24"/>
        </w:rPr>
      </w:pPr>
    </w:p>
    <w:p w:rsidR="009B38A4" w:rsidRPr="00093D69" w:rsidRDefault="009B38A4" w:rsidP="00F3613D">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הנתבעת, אשר פעלה להוצאת רישיון </w:t>
      </w:r>
      <w:r w:rsidR="00F3613D" w:rsidRPr="00093D69">
        <w:rPr>
          <w:rFonts w:ascii="David" w:hAnsi="David" w:cs="David"/>
          <w:sz w:val="24"/>
          <w:szCs w:val="24"/>
        </w:rPr>
        <w:t>xx</w:t>
      </w:r>
      <w:r w:rsidRPr="00093D69">
        <w:rPr>
          <w:rFonts w:ascii="David" w:hAnsi="David" w:cs="David"/>
          <w:sz w:val="24"/>
          <w:szCs w:val="24"/>
          <w:rtl/>
        </w:rPr>
        <w:t xml:space="preserve"> בארה"ב, התקשתה מאוד להתפרנס וכך מצאה את עצמה נתונה לרחמיו של התובע ומתחננת אליו שיביא לה כסף לסיפוק צרכיה וצרכי הקטינה. התובע שמכור לסמים קשים, נהג להיעדר מהבית שעות רבות ואחר כך המשיך לעשן בשירותים וכך הייתה הנתבעת מוצאת אותו בבוקר יום המחרת. הסתבר לנתבעת כי הוא שהה מספר פעמים במרכזי גמילה.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lastRenderedPageBreak/>
        <w:t>עוד נודע לנתבעת, כי התובע הואשם בגניבה מספר פעמים וכי הוא אינו יציב נפשית, ונוטל כדורים פסיכיאטריים. התובע אף בגד בנתבעת במספר הזדמנויות, כאשר הוא איים עליה שהוא לא יסייע בגידולה של הקטינה.</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הנתבעת חיה בארה"ב בבדידות נוראה, ללא משפחה, כאשר בני משפחתו של התובע מתנכרים אליה. כך היה גם לאחר לידת הקטינה כשהיא נותרה מאושפזת בבית החולים מבלי שהתובע בא לבקרה. </w:t>
      </w:r>
    </w:p>
    <w:p w:rsidR="009B38A4" w:rsidRPr="00093D69" w:rsidRDefault="009B38A4" w:rsidP="009B38A4">
      <w:pPr>
        <w:pStyle w:val="ad"/>
        <w:rPr>
          <w:rFonts w:ascii="David" w:hAnsi="David" w:cs="David"/>
          <w:sz w:val="24"/>
          <w:szCs w:val="24"/>
        </w:rPr>
      </w:pPr>
    </w:p>
    <w:p w:rsidR="009B38A4" w:rsidRPr="00093D69" w:rsidRDefault="009B38A4" w:rsidP="00115031">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לצדדים לא היה מקום מגורים קבוע, עת עברו דירה </w:t>
      </w:r>
      <w:r w:rsidR="00115031">
        <w:rPr>
          <w:rFonts w:ascii="David" w:hAnsi="David" w:cs="David"/>
          <w:sz w:val="24"/>
          <w:szCs w:val="24"/>
        </w:rPr>
        <w:t>x</w:t>
      </w:r>
      <w:r w:rsidRPr="00093D69">
        <w:rPr>
          <w:rFonts w:ascii="David" w:hAnsi="David" w:cs="David"/>
          <w:sz w:val="24"/>
          <w:szCs w:val="24"/>
          <w:rtl/>
        </w:rPr>
        <w:t xml:space="preserve"> פעמים ובכל פעם סולקו מהדירה הקודמת בשל התנהלותו הבעייתית של התובע. כך שאין חולק בדבר המצב המסוכן הטמון לקטינה, שכן אין לה בית מגורים לחזור אליו.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הנתבעת היא שגידלה את הקטינה וטיפלה בה 24/7 ועל כך אין חולק. התובע </w:t>
      </w:r>
      <w:proofErr w:type="spellStart"/>
      <w:r w:rsidRPr="00093D69">
        <w:rPr>
          <w:rFonts w:ascii="David" w:hAnsi="David" w:cs="David"/>
          <w:sz w:val="24"/>
          <w:szCs w:val="24"/>
          <w:rtl/>
        </w:rPr>
        <w:t>מצידו</w:t>
      </w:r>
      <w:proofErr w:type="spellEnd"/>
      <w:r w:rsidRPr="00093D69">
        <w:rPr>
          <w:rFonts w:ascii="David" w:hAnsi="David" w:cs="David"/>
          <w:sz w:val="24"/>
          <w:szCs w:val="24"/>
          <w:rtl/>
        </w:rPr>
        <w:t xml:space="preserve"> נהג לקלל, לתקוף את הנתבעת ולזרוק עליה חפצים, אפילו בקרבת הקטינה. אין לקבל את טענותיו המופרכות של התובע בדבר היקף עלות טיפולי הפוריות שעברו הצדדים, כאשר תרומת הביציות עלתה 10,000$ ואילו הטיפולים להחזרת העוברים עלו כ-5,795$ בלבד.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כך גם אין לקבל טענותיו ההזויות של התובע אודות פעילותה המיסטית של הנתבעת, באשר היא אדם מאמין ומסורתי. התובע הוא שנהג לגנוב מחפציה של הנתבעת, כך גנב את שעון </w:t>
      </w:r>
      <w:proofErr w:type="spellStart"/>
      <w:r w:rsidRPr="00093D69">
        <w:rPr>
          <w:rFonts w:ascii="David" w:hAnsi="David" w:cs="David"/>
          <w:sz w:val="24"/>
          <w:szCs w:val="24"/>
          <w:rtl/>
        </w:rPr>
        <w:t>הרולקס</w:t>
      </w:r>
      <w:proofErr w:type="spellEnd"/>
      <w:r w:rsidRPr="00093D69">
        <w:rPr>
          <w:rFonts w:ascii="David" w:hAnsi="David" w:cs="David"/>
          <w:sz w:val="24"/>
          <w:szCs w:val="24"/>
          <w:rtl/>
        </w:rPr>
        <w:t xml:space="preserve"> שלה ואת תכשיטיה. </w:t>
      </w:r>
    </w:p>
    <w:p w:rsidR="009B38A4" w:rsidRPr="00093D69" w:rsidRDefault="009B38A4" w:rsidP="009B38A4">
      <w:pPr>
        <w:pStyle w:val="ad"/>
        <w:rPr>
          <w:rFonts w:ascii="David" w:hAnsi="David" w:cs="David"/>
          <w:sz w:val="24"/>
          <w:szCs w:val="24"/>
        </w:rPr>
      </w:pPr>
    </w:p>
    <w:p w:rsidR="009B38A4" w:rsidRPr="00093D69" w:rsidRDefault="009B38A4" w:rsidP="00E30663">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הנתבעת עדכנה את התובע אודות מצבו של אביה שעבר ניתוח </w:t>
      </w:r>
      <w:r w:rsidR="00E30663" w:rsidRPr="00093D69">
        <w:rPr>
          <w:rFonts w:ascii="David" w:hAnsi="David" w:cs="David"/>
          <w:sz w:val="24"/>
          <w:szCs w:val="24"/>
        </w:rPr>
        <w:t>y</w:t>
      </w:r>
      <w:r w:rsidRPr="00093D69">
        <w:rPr>
          <w:rFonts w:ascii="David" w:hAnsi="David" w:cs="David"/>
          <w:sz w:val="24"/>
          <w:szCs w:val="24"/>
          <w:rtl/>
        </w:rPr>
        <w:t xml:space="preserve"> ועל רצונה ללכת לבקרו, זה היה ברור לצדדים כי נסיעתה ארצה תהיה עם הקטינה, שכן היא הייתה הגורם הבלעדי שטיפל בה. בפרט כאשר התובע נהג לטוס לחו"ל מבלי להודיע לה, כרווק הולל.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בסוף חודש מרץ הגיע התובע ארצה, לחתונת חברו, אולם לא עשה דבר כדי לבקר את הקטינה או לפעול להחזרתה. לאור האיומים הרבים שהשמיע באוזניה, משך שהותה בישראל, התקבלה אצלה החלטה שלא לשוב לארה"ב בגין הנזק הרב הטמון שם לה ולקטינה. בשל חששה מהתובע, ציינה הנתבעת כי יוכל לראות את הקטינה בליווי שוטר בלבד.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מיד עם הגשת התביעות בעניינה של הקטינה לבית משפט זה, ביום 17.4.2024, המציאה הנתבעת את המסמכים לכתובת המייל של התובע; ברם, זה המתין רק לאחר קבלת ההמצאה מחוץ לתחום כדי להגיש הליך זה, בחודש אוגוסט 2024.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לאור כל האמור לעיל, ברי כי אין המדובר בחטיפה לפי אמנת האג ועל כי יש להורות על דחיית התיק. התנהלות התובע עולה כדי שיהוי וויתור על העזרה הראשונה הניתנת מכוח אמנת האג וזו אף מלמדת על השלמה מכללא עם מגוריה של הקטינה בישראל. כך גם הבינה הנתבעת ועל כן החלה לפעול לבניית חייה עם הקטינה בישראל. בתוך כך, רשמה אותה למעון ואף החלה לעבוד.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החזרת הקטינה לארה"ב תסב לה נזק פיזי, נפשי ותעמיד אותה במצב בלתי נסבל, כאשר זו תחזור למעגל האלימות הכלכלית, הפיזית והנפשית ובהיעדר מקום מגורים. לאור האמור, יש לדחות את התובענה.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u w:val="single"/>
          <w:rtl/>
        </w:rPr>
        <w:t>בסיכומיה</w:t>
      </w:r>
      <w:r w:rsidRPr="00093D69">
        <w:rPr>
          <w:rFonts w:ascii="David" w:hAnsi="David" w:cs="David"/>
          <w:sz w:val="24"/>
          <w:szCs w:val="24"/>
          <w:rtl/>
        </w:rPr>
        <w:t xml:space="preserve"> הוסיפה, כי יש לדחות את התביעה ולהתיר לה להישאר בארץ בשל 4 טעמים:</w:t>
      </w:r>
      <w:r w:rsidRPr="00093D69">
        <w:rPr>
          <w:rFonts w:ascii="David" w:hAnsi="David" w:cs="David"/>
          <w:sz w:val="24"/>
          <w:szCs w:val="24"/>
          <w:rtl/>
        </w:rPr>
        <w:br/>
        <w:t xml:space="preserve">כי אין המדובר בחטיפה; מאחר והתובע לא הציג זכויות משמורת; ומשום תחולת החריגים הקבועים בס' 13 (א) ו-13(ב) לחוק אמנת האג.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הנתבעת הוכיחה, כי לא תוכל לשרוד בארה"ב עם הקטינה, כאשר אין לה מקום מגורים, עבודה וכן תמיכה משפחתית שם. החזרתן לארה"ב יכולה להעמיד אותן בסכנה גדולה, כדי סכנת חיים.</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 הובהר, כי רק לאחר שהתובע הגיע ארצה ולא ראה את הקטינה ואף הגביר את האיומים כלפי הנתבעת, התקבלה אצלה ההחלטה שאין ביכולתה לשוב לארה"ב. או אז פעלה באופן מידי להגשת הליכים בעניינה של הקטינה.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התובע הודה, כי אינו מעוניין לשמש כמשמורן לקטינה ולכך נמצאה אף תמיכה בחוות דעת המומחה, מכאן כי אין ספק בדבר היות האם המשמורנית של הקטינה וכאשר מצד האב לא ננקטה שום פעולה להפעלת זכויות המשמורת שלו.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הוכח, כי התובע וויתר על העזרה הראשונה המוגשת מכוח האמנה, בעת שהשלים והסכים עם מגורי הקטינה בארץ, כך שכעת מנוע מלטעון אחרת. התובע לא נימק מדוע לקח לו שבוע ימים ליצור קשר עם הנתבעת מעת הגעתו ארצה ואף לא ביאר כיצד אחר כך חזר לארה"ב בלא כלום.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גם לאחר חזרתו לארה"ב , לא עשה דבר משך 5 חוד' ורק לאחר שהומצאו לו כתבי בי הדין בהמצאה מחוץ לתחום, ביום 30.7.2024, פעל להגשת תביעה זו. כך שמהתנהגותו נלמדת הסכמתו/השלמתו עם המצב.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lastRenderedPageBreak/>
        <w:t xml:space="preserve">הנתבעת שאף היא הבינה מהתנהגות התובע אודות השלמתו, החלה לבנות לה ולקטינה את חייהן בישראל, כך רשמה אותה למעון ואף עברה להתגורר </w:t>
      </w:r>
      <w:proofErr w:type="spellStart"/>
      <w:r w:rsidRPr="00093D69">
        <w:rPr>
          <w:rFonts w:ascii="David" w:hAnsi="David" w:cs="David"/>
          <w:sz w:val="24"/>
          <w:szCs w:val="24"/>
          <w:rtl/>
        </w:rPr>
        <w:t>עימה</w:t>
      </w:r>
      <w:proofErr w:type="spellEnd"/>
      <w:r w:rsidRPr="00093D69">
        <w:rPr>
          <w:rFonts w:ascii="David" w:hAnsi="David" w:cs="David"/>
          <w:sz w:val="24"/>
          <w:szCs w:val="24"/>
          <w:rtl/>
        </w:rPr>
        <w:t xml:space="preserve"> בדירה שכורה.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כך גם מתקיים במקרה הנ"ל ס' 13 ב, לפיו קיים חשש חמור כי החזרת האם והקטינה לארה"ב תהיה כרוכה בגרימת נזק לקטינה ותעמידה במצב בלתי נסבל. אף המומחה אישר זאת בחקירתו, עת טען כי מצבה של האם שהיא המשמורנית בהכרח ישפיע על הקטינה.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אף כיום התובע נמנע מהעברת תשלומי מזונות עבור בת הקטינה, על אחת כמה וכמה, כי לא יעשה כן, אם ישובו לארה"ב, זאת אל מול ניסיונו של התובע המציג את עצמו כאיש עסקים, עשיר ובעל נכסים.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בחוות דעתו נמנע המומחה להשיב על השאלה המהותית הנידונה והיא האם החזרת הקטינה לארה"ב תעמיד אותה במצב מסוכן ולא האם התובע מהווה סכנה לקטינה. בחקירתו טען כי אין לו את הכלים להשיב על כך. </w:t>
      </w:r>
    </w:p>
    <w:p w:rsidR="009B38A4" w:rsidRPr="00093D69" w:rsidRDefault="009B38A4" w:rsidP="009B38A4">
      <w:pPr>
        <w:pStyle w:val="ad"/>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המומחה אף לא הסביר את הסתירה בין מסקנתו בדבר החשש לטובתה של הקטינה בהמשך חייה לבין תוצאת מסקנתו השוללת את תחולת ס' 13(ב). עוד נמצא כי חוות הדעת נגועה בהיעדר אובייקטיביות של המומחה, תוך ניסיון להציג את הנתבעת כשקרנית, כאשר בדיעבד התברר כי דבריה אמת.   </w:t>
      </w:r>
    </w:p>
    <w:p w:rsidR="009B38A4" w:rsidRPr="00093D69" w:rsidRDefault="009B38A4" w:rsidP="009B38A4">
      <w:pPr>
        <w:spacing w:line="360" w:lineRule="auto"/>
        <w:jc w:val="both"/>
        <w:rPr>
          <w:rFonts w:ascii="David" w:hAnsi="David"/>
          <w:b/>
          <w:bCs/>
          <w:u w:val="single"/>
        </w:rPr>
      </w:pPr>
      <w:r w:rsidRPr="00093D69">
        <w:rPr>
          <w:rFonts w:ascii="David" w:hAnsi="David"/>
          <w:b/>
          <w:bCs/>
          <w:u w:val="single"/>
          <w:rtl/>
        </w:rPr>
        <w:t>מסגרת נורמטיבית</w:t>
      </w:r>
    </w:p>
    <w:p w:rsidR="009B38A4" w:rsidRPr="00093D69" w:rsidRDefault="009B38A4" w:rsidP="009B38A4">
      <w:pPr>
        <w:spacing w:line="360" w:lineRule="auto"/>
        <w:ind w:left="360"/>
        <w:jc w:val="both"/>
        <w:rPr>
          <w:rFonts w:ascii="David" w:hAnsi="David"/>
          <w:b/>
          <w:bCs/>
          <w:u w:val="single"/>
          <w:rtl/>
        </w:rPr>
      </w:pPr>
      <w:r w:rsidRPr="00093D69">
        <w:rPr>
          <w:rFonts w:ascii="David" w:hAnsi="David"/>
          <w:b/>
          <w:bCs/>
          <w:u w:val="single"/>
          <w:rtl/>
        </w:rPr>
        <w:t>תכלית האמנה וגדרי תפקידו של בית המשפט בהכרעה על פיה</w:t>
      </w:r>
    </w:p>
    <w:p w:rsidR="009B38A4" w:rsidRPr="00093D69" w:rsidRDefault="009B38A4" w:rsidP="009B38A4">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lastRenderedPageBreak/>
        <w:t xml:space="preserve">חוק אמנת האג (החזרת ילדים חטופים), </w:t>
      </w:r>
      <w:proofErr w:type="spellStart"/>
      <w:r w:rsidRPr="00093D69">
        <w:rPr>
          <w:rFonts w:ascii="David" w:hAnsi="David" w:cs="David"/>
          <w:sz w:val="24"/>
          <w:szCs w:val="24"/>
          <w:rtl/>
        </w:rPr>
        <w:t>התשנ"א</w:t>
      </w:r>
      <w:proofErr w:type="spellEnd"/>
      <w:r w:rsidRPr="00093D69">
        <w:rPr>
          <w:rFonts w:ascii="David" w:hAnsi="David" w:cs="David"/>
          <w:sz w:val="24"/>
          <w:szCs w:val="24"/>
          <w:rtl/>
        </w:rPr>
        <w:t xml:space="preserve"> -1991 (להלן </w:t>
      </w:r>
      <w:r w:rsidRPr="00093D69">
        <w:rPr>
          <w:rFonts w:ascii="David" w:hAnsi="David" w:cs="David"/>
          <w:b/>
          <w:bCs/>
          <w:sz w:val="24"/>
          <w:szCs w:val="24"/>
          <w:rtl/>
        </w:rPr>
        <w:t>"חוק אמנת האג"</w:t>
      </w:r>
      <w:r w:rsidRPr="00093D69">
        <w:rPr>
          <w:rFonts w:ascii="David" w:hAnsi="David" w:cs="David"/>
          <w:sz w:val="24"/>
          <w:szCs w:val="24"/>
          <w:rtl/>
        </w:rPr>
        <w:t xml:space="preserve"> או </w:t>
      </w:r>
      <w:r w:rsidRPr="00093D69">
        <w:rPr>
          <w:rFonts w:ascii="David" w:hAnsi="David" w:cs="David"/>
          <w:b/>
          <w:bCs/>
          <w:sz w:val="24"/>
          <w:szCs w:val="24"/>
          <w:rtl/>
        </w:rPr>
        <w:t>"החוק"</w:t>
      </w:r>
      <w:r w:rsidRPr="00093D69">
        <w:rPr>
          <w:rFonts w:ascii="David" w:hAnsi="David" w:cs="David"/>
          <w:sz w:val="24"/>
          <w:szCs w:val="24"/>
          <w:rtl/>
        </w:rPr>
        <w:t xml:space="preserve">) מקנה לאמנה בדבר ההיבטים האזרחיים של חטיפה בינלאומית של ילדים שנחתמה בהאג ביום 25.10.1980 (כהגדרתה בסעיף 1 לחוק; להלן: </w:t>
      </w:r>
      <w:r w:rsidRPr="00093D69">
        <w:rPr>
          <w:rFonts w:ascii="David" w:hAnsi="David" w:cs="David"/>
          <w:b/>
          <w:bCs/>
          <w:sz w:val="24"/>
          <w:szCs w:val="24"/>
          <w:rtl/>
        </w:rPr>
        <w:t xml:space="preserve">"אמנת האג להחזרת ילדים חטופים" </w:t>
      </w:r>
      <w:r w:rsidRPr="00093D69">
        <w:rPr>
          <w:rFonts w:ascii="David" w:hAnsi="David" w:cs="David"/>
          <w:sz w:val="24"/>
          <w:szCs w:val="24"/>
          <w:rtl/>
        </w:rPr>
        <w:t xml:space="preserve">או </w:t>
      </w:r>
      <w:r w:rsidRPr="00093D69">
        <w:rPr>
          <w:rFonts w:ascii="David" w:hAnsi="David" w:cs="David"/>
          <w:b/>
          <w:bCs/>
          <w:sz w:val="24"/>
          <w:szCs w:val="24"/>
          <w:rtl/>
        </w:rPr>
        <w:t>"אמנת האג"</w:t>
      </w:r>
      <w:r w:rsidRPr="00093D69">
        <w:rPr>
          <w:rFonts w:ascii="David" w:hAnsi="David" w:cs="David"/>
          <w:sz w:val="24"/>
          <w:szCs w:val="24"/>
          <w:rtl/>
        </w:rPr>
        <w:t xml:space="preserve">) </w:t>
      </w:r>
      <w:r w:rsidRPr="00093D69">
        <w:rPr>
          <w:rFonts w:ascii="David" w:hAnsi="David" w:cs="David"/>
          <w:b/>
          <w:bCs/>
          <w:sz w:val="24"/>
          <w:szCs w:val="24"/>
          <w:u w:val="single"/>
          <w:rtl/>
        </w:rPr>
        <w:t>מעמד נורמטיבי מחייב</w:t>
      </w:r>
      <w:r w:rsidRPr="00093D69">
        <w:rPr>
          <w:rFonts w:ascii="David" w:hAnsi="David" w:cs="David"/>
          <w:sz w:val="24"/>
          <w:szCs w:val="24"/>
          <w:rtl/>
        </w:rPr>
        <w:t>.</w:t>
      </w:r>
    </w:p>
    <w:p w:rsidR="009B38A4" w:rsidRPr="00093D69" w:rsidRDefault="009B38A4" w:rsidP="009B38A4">
      <w:pPr>
        <w:pStyle w:val="ad"/>
        <w:spacing w:line="360" w:lineRule="auto"/>
        <w:jc w:val="both"/>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t xml:space="preserve">תכלית החוק והאמנה הם לאפשר קיומה של </w:t>
      </w:r>
      <w:r w:rsidRPr="00093D69">
        <w:rPr>
          <w:rFonts w:ascii="David" w:hAnsi="David" w:cs="David"/>
          <w:sz w:val="24"/>
          <w:szCs w:val="24"/>
          <w:u w:val="single"/>
          <w:rtl/>
        </w:rPr>
        <w:t xml:space="preserve">פעולה </w:t>
      </w:r>
      <w:proofErr w:type="spellStart"/>
      <w:r w:rsidRPr="00093D69">
        <w:rPr>
          <w:rFonts w:ascii="David" w:hAnsi="David" w:cs="David"/>
          <w:sz w:val="24"/>
          <w:szCs w:val="24"/>
          <w:u w:val="single"/>
          <w:rtl/>
        </w:rPr>
        <w:t>מיידית</w:t>
      </w:r>
      <w:proofErr w:type="spellEnd"/>
      <w:r w:rsidRPr="00093D69">
        <w:rPr>
          <w:rFonts w:ascii="David" w:hAnsi="David" w:cs="David"/>
          <w:sz w:val="24"/>
          <w:szCs w:val="24"/>
          <w:u w:val="single"/>
          <w:rtl/>
        </w:rPr>
        <w:t xml:space="preserve"> ודחופה להשבת קטין למקום מגוריו הרגיל</w:t>
      </w:r>
      <w:r w:rsidRPr="00093D69">
        <w:rPr>
          <w:rFonts w:ascii="David" w:hAnsi="David" w:cs="David"/>
          <w:sz w:val="24"/>
          <w:szCs w:val="24"/>
          <w:rtl/>
        </w:rPr>
        <w:t xml:space="preserve">, תוך שבכך יימנע שינוי הסטטוס קוו על ידי מי מהורי הקטין באמצעות אקט חד צדדי של הרחקה שלא כדין (ר' ע"א 1372/95 </w:t>
      </w:r>
      <w:proofErr w:type="spellStart"/>
      <w:r w:rsidRPr="00093D69">
        <w:rPr>
          <w:rFonts w:ascii="David" w:hAnsi="David" w:cs="David"/>
          <w:b/>
          <w:bCs/>
          <w:sz w:val="24"/>
          <w:szCs w:val="24"/>
          <w:rtl/>
        </w:rPr>
        <w:t>לויד</w:t>
      </w:r>
      <w:proofErr w:type="spellEnd"/>
      <w:r w:rsidRPr="00093D69">
        <w:rPr>
          <w:rFonts w:ascii="David" w:hAnsi="David" w:cs="David"/>
          <w:b/>
          <w:bCs/>
          <w:sz w:val="24"/>
          <w:szCs w:val="24"/>
          <w:rtl/>
        </w:rPr>
        <w:t xml:space="preserve"> </w:t>
      </w:r>
      <w:proofErr w:type="spellStart"/>
      <w:r w:rsidRPr="00093D69">
        <w:rPr>
          <w:rFonts w:ascii="David" w:hAnsi="David" w:cs="David"/>
          <w:b/>
          <w:bCs/>
          <w:sz w:val="24"/>
          <w:szCs w:val="24"/>
          <w:rtl/>
        </w:rPr>
        <w:t>סטגמן</w:t>
      </w:r>
      <w:proofErr w:type="spellEnd"/>
      <w:r w:rsidRPr="00093D69">
        <w:rPr>
          <w:rFonts w:ascii="David" w:hAnsi="David" w:cs="David"/>
          <w:b/>
          <w:bCs/>
          <w:sz w:val="24"/>
          <w:szCs w:val="24"/>
          <w:rtl/>
        </w:rPr>
        <w:t xml:space="preserve"> נ' דבורה בורק</w:t>
      </w:r>
      <w:r w:rsidRPr="00093D69">
        <w:rPr>
          <w:rFonts w:ascii="David" w:hAnsi="David" w:cs="David"/>
          <w:sz w:val="24"/>
          <w:szCs w:val="24"/>
          <w:rtl/>
        </w:rPr>
        <w:t>, פ"ד מט(2), 431, 437 (1995)1 להלן</w:t>
      </w:r>
      <w:r w:rsidRPr="00093D69">
        <w:rPr>
          <w:rFonts w:ascii="David" w:hAnsi="David" w:cs="David"/>
          <w:b/>
          <w:bCs/>
          <w:sz w:val="24"/>
          <w:szCs w:val="24"/>
          <w:rtl/>
        </w:rPr>
        <w:t xml:space="preserve"> "פרשת </w:t>
      </w:r>
      <w:proofErr w:type="spellStart"/>
      <w:r w:rsidRPr="00093D69">
        <w:rPr>
          <w:rFonts w:ascii="David" w:hAnsi="David" w:cs="David"/>
          <w:b/>
          <w:bCs/>
          <w:sz w:val="24"/>
          <w:szCs w:val="24"/>
          <w:rtl/>
        </w:rPr>
        <w:t>לויד</w:t>
      </w:r>
      <w:proofErr w:type="spellEnd"/>
      <w:r w:rsidRPr="00093D69">
        <w:rPr>
          <w:rFonts w:ascii="David" w:hAnsi="David" w:cs="David"/>
          <w:b/>
          <w:bCs/>
          <w:sz w:val="24"/>
          <w:szCs w:val="24"/>
          <w:rtl/>
        </w:rPr>
        <w:t xml:space="preserve"> </w:t>
      </w:r>
      <w:proofErr w:type="spellStart"/>
      <w:r w:rsidRPr="00093D69">
        <w:rPr>
          <w:rFonts w:ascii="David" w:hAnsi="David" w:cs="David"/>
          <w:b/>
          <w:bCs/>
          <w:sz w:val="24"/>
          <w:szCs w:val="24"/>
          <w:rtl/>
        </w:rPr>
        <w:t>סטגמן</w:t>
      </w:r>
      <w:proofErr w:type="spellEnd"/>
      <w:r w:rsidRPr="00093D69">
        <w:rPr>
          <w:rFonts w:ascii="David" w:hAnsi="David" w:cs="David"/>
          <w:b/>
          <w:bCs/>
          <w:sz w:val="24"/>
          <w:szCs w:val="24"/>
          <w:rtl/>
        </w:rPr>
        <w:t>"</w:t>
      </w:r>
      <w:r w:rsidRPr="00093D69">
        <w:rPr>
          <w:rFonts w:ascii="David" w:hAnsi="David" w:cs="David"/>
          <w:sz w:val="24"/>
          <w:szCs w:val="24"/>
          <w:rtl/>
        </w:rPr>
        <w:t xml:space="preserve"> ).</w:t>
      </w:r>
    </w:p>
    <w:p w:rsidR="009B38A4" w:rsidRPr="00093D69" w:rsidRDefault="009B38A4" w:rsidP="009B38A4">
      <w:pPr>
        <w:pStyle w:val="ad"/>
        <w:spacing w:line="360" w:lineRule="auto"/>
        <w:jc w:val="both"/>
        <w:rPr>
          <w:rFonts w:ascii="David" w:hAnsi="David" w:cs="David"/>
          <w:sz w:val="24"/>
          <w:szCs w:val="24"/>
        </w:rPr>
      </w:pPr>
    </w:p>
    <w:p w:rsidR="009B38A4" w:rsidRPr="00093D69" w:rsidRDefault="009B38A4" w:rsidP="009B38A4">
      <w:pPr>
        <w:pStyle w:val="ad"/>
        <w:numPr>
          <w:ilvl w:val="0"/>
          <w:numId w:val="1"/>
        </w:numPr>
        <w:spacing w:line="360" w:lineRule="auto"/>
        <w:jc w:val="both"/>
        <w:rPr>
          <w:rFonts w:ascii="David" w:hAnsi="David" w:cs="David"/>
          <w:sz w:val="24"/>
          <w:szCs w:val="24"/>
        </w:rPr>
      </w:pPr>
      <w:r w:rsidRPr="00093D69">
        <w:rPr>
          <w:rFonts w:ascii="David" w:hAnsi="David" w:cs="David"/>
          <w:sz w:val="24"/>
          <w:szCs w:val="24"/>
          <w:rtl/>
        </w:rPr>
        <w:t xml:space="preserve">טיב תפקידו של בית המשפט הפועל בגדרי החוק והאמנה הושווה בפסיקה לתפקידו של בית המשפט העליון ביושבו כבג"צ ודן בסוגיית החזרת ילדים, והומשג </w:t>
      </w:r>
      <w:proofErr w:type="spellStart"/>
      <w:r w:rsidRPr="00093D69">
        <w:rPr>
          <w:rFonts w:ascii="David" w:hAnsi="David" w:cs="David"/>
          <w:sz w:val="24"/>
          <w:szCs w:val="24"/>
          <w:rtl/>
        </w:rPr>
        <w:t>כ</w:t>
      </w:r>
      <w:r w:rsidRPr="00093D69">
        <w:rPr>
          <w:rFonts w:ascii="David" w:hAnsi="David" w:cs="David"/>
          <w:b/>
          <w:bCs/>
          <w:sz w:val="24"/>
          <w:szCs w:val="24"/>
          <w:rtl/>
        </w:rPr>
        <w:t>"'</w:t>
      </w:r>
      <w:r w:rsidRPr="00093D69">
        <w:rPr>
          <w:rFonts w:ascii="David" w:hAnsi="David" w:cs="David"/>
          <w:b/>
          <w:bCs/>
          <w:sz w:val="24"/>
          <w:szCs w:val="24"/>
          <w:u w:val="single"/>
          <w:rtl/>
        </w:rPr>
        <w:t>כיבוי</w:t>
      </w:r>
      <w:proofErr w:type="spellEnd"/>
      <w:r w:rsidRPr="00093D69">
        <w:rPr>
          <w:rFonts w:ascii="David" w:hAnsi="David" w:cs="David"/>
          <w:b/>
          <w:bCs/>
          <w:sz w:val="24"/>
          <w:szCs w:val="24"/>
          <w:u w:val="single"/>
          <w:rtl/>
        </w:rPr>
        <w:t xml:space="preserve"> דלקה</w:t>
      </w:r>
      <w:r w:rsidRPr="00093D69">
        <w:rPr>
          <w:rFonts w:ascii="David" w:hAnsi="David" w:cs="David"/>
          <w:b/>
          <w:bCs/>
          <w:sz w:val="24"/>
          <w:szCs w:val="24"/>
        </w:rPr>
        <w:t xml:space="preserve">' </w:t>
      </w:r>
      <w:r w:rsidRPr="00093D69">
        <w:rPr>
          <w:rFonts w:ascii="David" w:hAnsi="David" w:cs="David"/>
          <w:b/>
          <w:bCs/>
          <w:sz w:val="24"/>
          <w:szCs w:val="24"/>
          <w:rtl/>
        </w:rPr>
        <w:t>או '</w:t>
      </w:r>
      <w:r w:rsidRPr="00093D69">
        <w:rPr>
          <w:rFonts w:ascii="David" w:hAnsi="David" w:cs="David"/>
          <w:b/>
          <w:bCs/>
          <w:sz w:val="24"/>
          <w:szCs w:val="24"/>
          <w:u w:val="single"/>
          <w:rtl/>
        </w:rPr>
        <w:t>עזרה ראשונה</w:t>
      </w:r>
      <w:r w:rsidRPr="00093D69">
        <w:rPr>
          <w:rFonts w:ascii="David" w:hAnsi="David" w:cs="David"/>
          <w:b/>
          <w:bCs/>
          <w:sz w:val="24"/>
          <w:szCs w:val="24"/>
          <w:rtl/>
        </w:rPr>
        <w:t xml:space="preserve">' לשם החזרת המצב לקדמותו" </w:t>
      </w:r>
      <w:r w:rsidRPr="00093D69">
        <w:rPr>
          <w:rFonts w:ascii="David" w:hAnsi="David" w:cs="David"/>
          <w:sz w:val="24"/>
          <w:szCs w:val="24"/>
          <w:rtl/>
        </w:rPr>
        <w:t xml:space="preserve">(ר' בש"א 1648/92 </w:t>
      </w:r>
      <w:r w:rsidRPr="00093D69">
        <w:rPr>
          <w:rFonts w:ascii="David" w:hAnsi="David" w:cs="David"/>
          <w:b/>
          <w:bCs/>
          <w:sz w:val="24"/>
          <w:szCs w:val="24"/>
          <w:rtl/>
        </w:rPr>
        <w:t>פנינה טורנה נ' דניאל צ'רלס משולם</w:t>
      </w:r>
      <w:r w:rsidRPr="00093D69">
        <w:rPr>
          <w:rFonts w:ascii="David" w:hAnsi="David" w:cs="David"/>
          <w:sz w:val="24"/>
          <w:szCs w:val="24"/>
          <w:rtl/>
        </w:rPr>
        <w:t xml:space="preserve">, פ"ד מו(3) 38, 45 (1992) סעיף 8 לפסה"ד של כב' השופטת ש' נתניהו, הדגשות לא במקור; להלן </w:t>
      </w:r>
      <w:r w:rsidRPr="00093D69">
        <w:rPr>
          <w:rFonts w:ascii="David" w:hAnsi="David" w:cs="David"/>
          <w:b/>
          <w:bCs/>
          <w:sz w:val="24"/>
          <w:szCs w:val="24"/>
          <w:rtl/>
        </w:rPr>
        <w:t>"פרשת טורנה"</w:t>
      </w:r>
      <w:r w:rsidRPr="00093D69">
        <w:rPr>
          <w:rFonts w:ascii="David" w:hAnsi="David" w:cs="David"/>
          <w:sz w:val="24"/>
          <w:szCs w:val="24"/>
          <w:rtl/>
        </w:rPr>
        <w:t>).</w:t>
      </w:r>
    </w:p>
    <w:p w:rsidR="009B38A4" w:rsidRPr="00093D69" w:rsidRDefault="009B38A4" w:rsidP="009B38A4">
      <w:pPr>
        <w:pStyle w:val="ad"/>
        <w:rPr>
          <w:rFonts w:ascii="David" w:hAnsi="David" w:cs="David"/>
          <w:b/>
          <w:bCs/>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rtl/>
        </w:rPr>
        <w:t xml:space="preserve">בהינתן האמור לעיל וכאמור בפסיקה, </w:t>
      </w:r>
      <w:r w:rsidRPr="00093D69">
        <w:rPr>
          <w:rFonts w:ascii="David" w:hAnsi="David" w:cs="David"/>
          <w:b/>
          <w:bCs/>
          <w:sz w:val="24"/>
          <w:szCs w:val="24"/>
          <w:u w:val="single"/>
          <w:rtl/>
        </w:rPr>
        <w:t>הליך בהתאם לאמנת האג אין תכליתו הכרעה בממשק מערך הזכויות והחובות ההוריות בזיקה לקטין</w:t>
      </w:r>
      <w:r w:rsidRPr="00093D69">
        <w:rPr>
          <w:rFonts w:ascii="David" w:hAnsi="David" w:cs="David"/>
          <w:b/>
          <w:bCs/>
          <w:sz w:val="24"/>
          <w:szCs w:val="24"/>
          <w:rtl/>
        </w:rPr>
        <w:t>,</w:t>
      </w:r>
      <w:r w:rsidRPr="00093D69">
        <w:rPr>
          <w:rFonts w:ascii="David" w:hAnsi="David" w:cs="David"/>
          <w:sz w:val="24"/>
          <w:szCs w:val="24"/>
          <w:rtl/>
        </w:rPr>
        <w:t xml:space="preserve"> אלא </w:t>
      </w:r>
      <w:r w:rsidRPr="00093D69">
        <w:rPr>
          <w:rFonts w:ascii="David" w:hAnsi="David" w:cs="David"/>
          <w:b/>
          <w:bCs/>
          <w:sz w:val="24"/>
          <w:szCs w:val="24"/>
          <w:u w:val="single"/>
          <w:rtl/>
        </w:rPr>
        <w:t>בסוגיית הפורום המוסמך</w:t>
      </w:r>
      <w:r w:rsidRPr="00093D69">
        <w:rPr>
          <w:rFonts w:ascii="David" w:hAnsi="David" w:cs="David"/>
          <w:sz w:val="24"/>
          <w:szCs w:val="24"/>
          <w:rtl/>
        </w:rPr>
        <w:t xml:space="preserve"> להכרעה בסוגיות אלה, </w:t>
      </w:r>
      <w:r w:rsidRPr="00093D69">
        <w:rPr>
          <w:rFonts w:ascii="David" w:hAnsi="David" w:cs="David"/>
          <w:sz w:val="24"/>
          <w:szCs w:val="24"/>
          <w:u w:val="single"/>
          <w:rtl/>
        </w:rPr>
        <w:t>כאשר סוגיית המשמורת על גווניה תונח לפתחו של בית המשפט המוסמך</w:t>
      </w:r>
      <w:r w:rsidRPr="00093D69">
        <w:rPr>
          <w:rFonts w:ascii="David" w:hAnsi="David" w:cs="David"/>
          <w:sz w:val="24"/>
          <w:szCs w:val="24"/>
          <w:rtl/>
        </w:rPr>
        <w:t xml:space="preserve"> (ר', למשל בע"מ 2270/13 </w:t>
      </w:r>
      <w:r w:rsidRPr="00093D69">
        <w:rPr>
          <w:rFonts w:ascii="David" w:hAnsi="David" w:cs="David"/>
          <w:b/>
          <w:bCs/>
          <w:sz w:val="24"/>
          <w:szCs w:val="24"/>
          <w:rtl/>
        </w:rPr>
        <w:t xml:space="preserve">פלונית נ' פלוני </w:t>
      </w:r>
      <w:r w:rsidRPr="00093D69">
        <w:rPr>
          <w:rFonts w:ascii="David" w:hAnsi="David" w:cs="David"/>
          <w:sz w:val="24"/>
          <w:szCs w:val="24"/>
          <w:rtl/>
        </w:rPr>
        <w:t xml:space="preserve">(פורסם במאגרים המשפטיים, 30.5.2013), בע"מ 1930/14 </w:t>
      </w:r>
      <w:r w:rsidRPr="00093D69">
        <w:rPr>
          <w:rFonts w:ascii="David" w:hAnsi="David" w:cs="David"/>
          <w:b/>
          <w:bCs/>
          <w:sz w:val="24"/>
          <w:szCs w:val="24"/>
          <w:rtl/>
        </w:rPr>
        <w:t>פלונית נ' פלוני</w:t>
      </w:r>
      <w:r w:rsidRPr="00093D69">
        <w:rPr>
          <w:rFonts w:ascii="David" w:hAnsi="David" w:cs="David"/>
          <w:sz w:val="24"/>
          <w:szCs w:val="24"/>
          <w:rtl/>
        </w:rPr>
        <w:t xml:space="preserve"> (פורסם במאגרים המשפטיים, 5.6.2014)).</w:t>
      </w:r>
    </w:p>
    <w:p w:rsidR="009B38A4" w:rsidRPr="00093D69" w:rsidRDefault="009B38A4" w:rsidP="009B38A4">
      <w:pPr>
        <w:ind w:left="360"/>
        <w:rPr>
          <w:rFonts w:ascii="David" w:hAnsi="David"/>
          <w:b/>
          <w:bCs/>
          <w:u w:val="single"/>
          <w:rtl/>
        </w:rPr>
      </w:pPr>
      <w:r w:rsidRPr="00093D69">
        <w:rPr>
          <w:rFonts w:ascii="David" w:hAnsi="David"/>
          <w:b/>
          <w:bCs/>
          <w:u w:val="single"/>
          <w:rtl/>
        </w:rPr>
        <w:lastRenderedPageBreak/>
        <w:t>בחינת מקום המגורים הרגיל של הקטין</w:t>
      </w:r>
    </w:p>
    <w:p w:rsidR="00093D69" w:rsidRPr="00093D69" w:rsidRDefault="00093D69" w:rsidP="009B38A4">
      <w:pPr>
        <w:ind w:left="360"/>
        <w:rPr>
          <w:rFonts w:ascii="David" w:hAnsi="David"/>
          <w:b/>
          <w:bCs/>
          <w:u w:val="single"/>
        </w:rPr>
      </w:pPr>
    </w:p>
    <w:p w:rsidR="009B38A4" w:rsidRPr="00093D69" w:rsidRDefault="009B38A4" w:rsidP="009B38A4">
      <w:pPr>
        <w:pStyle w:val="ad"/>
        <w:numPr>
          <w:ilvl w:val="0"/>
          <w:numId w:val="1"/>
        </w:numPr>
        <w:spacing w:line="360" w:lineRule="auto"/>
        <w:jc w:val="both"/>
        <w:rPr>
          <w:rFonts w:ascii="David" w:hAnsi="David" w:cs="David"/>
          <w:sz w:val="24"/>
          <w:szCs w:val="24"/>
          <w:rtl/>
        </w:rPr>
      </w:pPr>
      <w:r w:rsidRPr="00093D69">
        <w:rPr>
          <w:rFonts w:ascii="David" w:hAnsi="David" w:cs="David"/>
          <w:sz w:val="24"/>
          <w:szCs w:val="24"/>
          <w:u w:val="single"/>
          <w:rtl/>
        </w:rPr>
        <w:t>לשם בחינת השאלה האם בוצעה הרחקת קטין שלא כדין</w:t>
      </w:r>
      <w:r w:rsidRPr="00093D69">
        <w:rPr>
          <w:rFonts w:ascii="David" w:hAnsi="David" w:cs="David"/>
          <w:sz w:val="24"/>
          <w:szCs w:val="24"/>
          <w:rtl/>
        </w:rPr>
        <w:t xml:space="preserve">, יש להידרש תחילה לקביעת </w:t>
      </w:r>
      <w:r w:rsidRPr="00093D69">
        <w:rPr>
          <w:rFonts w:ascii="David" w:hAnsi="David" w:cs="David"/>
          <w:sz w:val="24"/>
          <w:szCs w:val="24"/>
          <w:u w:val="single"/>
          <w:rtl/>
        </w:rPr>
        <w:t xml:space="preserve">מקום מגוריו </w:t>
      </w:r>
      <w:r w:rsidRPr="00093D69">
        <w:rPr>
          <w:rFonts w:ascii="David" w:hAnsi="David" w:cs="David"/>
          <w:b/>
          <w:bCs/>
          <w:sz w:val="24"/>
          <w:szCs w:val="24"/>
          <w:u w:val="single"/>
          <w:rtl/>
        </w:rPr>
        <w:t>"הרגיל"</w:t>
      </w:r>
      <w:r w:rsidRPr="00093D69">
        <w:rPr>
          <w:rFonts w:ascii="David" w:hAnsi="David" w:cs="David"/>
          <w:sz w:val="24"/>
          <w:szCs w:val="24"/>
          <w:rtl/>
        </w:rPr>
        <w:t xml:space="preserve"> </w:t>
      </w:r>
      <w:r w:rsidRPr="00093D69">
        <w:rPr>
          <w:rFonts w:ascii="David" w:hAnsi="David" w:cs="David"/>
          <w:b/>
          <w:bCs/>
          <w:sz w:val="24"/>
          <w:szCs w:val="24"/>
          <w:u w:val="single"/>
          <w:rtl/>
        </w:rPr>
        <w:t>של הקטין</w:t>
      </w:r>
      <w:r w:rsidRPr="00093D69">
        <w:rPr>
          <w:rFonts w:ascii="David" w:hAnsi="David" w:cs="David"/>
          <w:sz w:val="24"/>
          <w:szCs w:val="24"/>
          <w:rtl/>
        </w:rPr>
        <w:t>, בהתאם לקביעת סעיף 4 לאמנה.</w:t>
      </w:r>
    </w:p>
    <w:p w:rsidR="009B38A4" w:rsidRPr="00093D69" w:rsidRDefault="009B38A4" w:rsidP="009B38A4">
      <w:pPr>
        <w:pStyle w:val="ad"/>
        <w:rPr>
          <w:rFonts w:ascii="David" w:hAnsi="David" w:cs="David"/>
          <w:sz w:val="26"/>
          <w:szCs w:val="26"/>
        </w:rPr>
      </w:pPr>
    </w:p>
    <w:p w:rsidR="00093D69" w:rsidRPr="00093D69" w:rsidRDefault="009B38A4" w:rsidP="009B38A4">
      <w:pPr>
        <w:pStyle w:val="ad"/>
        <w:numPr>
          <w:ilvl w:val="0"/>
          <w:numId w:val="1"/>
        </w:numPr>
        <w:spacing w:line="360" w:lineRule="auto"/>
        <w:jc w:val="both"/>
        <w:rPr>
          <w:rFonts w:ascii="David" w:hAnsi="David" w:cs="David"/>
          <w:b/>
          <w:bCs/>
          <w:sz w:val="24"/>
          <w:szCs w:val="24"/>
        </w:rPr>
      </w:pPr>
      <w:r w:rsidRPr="00093D69">
        <w:rPr>
          <w:rFonts w:ascii="David" w:hAnsi="David" w:cs="David"/>
          <w:sz w:val="24"/>
          <w:szCs w:val="24"/>
          <w:rtl/>
        </w:rPr>
        <w:t>בהעדר הגדרת "מקום מגורים "</w:t>
      </w:r>
      <w:r w:rsidRPr="00093D69">
        <w:rPr>
          <w:rFonts w:ascii="David" w:hAnsi="David" w:cs="David"/>
          <w:sz w:val="24"/>
          <w:szCs w:val="24"/>
          <w:u w:val="single"/>
          <w:rtl/>
        </w:rPr>
        <w:t>רגיל</w:t>
      </w:r>
      <w:r w:rsidRPr="00093D69">
        <w:rPr>
          <w:rFonts w:ascii="David" w:hAnsi="David" w:cs="David"/>
          <w:sz w:val="24"/>
          <w:szCs w:val="24"/>
          <w:rtl/>
        </w:rPr>
        <w:t>"" של קטין (</w:t>
      </w:r>
      <w:r w:rsidRPr="00093D69">
        <w:rPr>
          <w:rFonts w:ascii="David" w:hAnsi="David" w:cs="David"/>
          <w:b/>
          <w:bCs/>
          <w:sz w:val="24"/>
          <w:szCs w:val="24"/>
          <w:lang w:eastAsia="he-IL"/>
        </w:rPr>
        <w:t>Habitual Residence</w:t>
      </w:r>
      <w:r w:rsidRPr="00093D69">
        <w:rPr>
          <w:rFonts w:ascii="David" w:hAnsi="David" w:cs="David"/>
          <w:sz w:val="24"/>
          <w:szCs w:val="24"/>
          <w:rtl/>
          <w:lang w:eastAsia="he-IL"/>
        </w:rPr>
        <w:t>)</w:t>
      </w:r>
      <w:r w:rsidRPr="00093D69">
        <w:rPr>
          <w:rFonts w:ascii="David" w:hAnsi="David" w:cs="David"/>
          <w:sz w:val="24"/>
          <w:szCs w:val="24"/>
          <w:rtl/>
        </w:rPr>
        <w:t xml:space="preserve"> בגדרי האמנה, מסורה מלאכת ההכרעה לבית המשפט, העושה כן על יסוד הנסיבות הקונקרטיות העומדות בפניו.</w:t>
      </w:r>
    </w:p>
    <w:p w:rsidR="00093D69" w:rsidRPr="00093D69" w:rsidRDefault="00093D69" w:rsidP="00093D69">
      <w:pPr>
        <w:pStyle w:val="ad"/>
        <w:rPr>
          <w:rFonts w:ascii="David" w:hAnsi="David" w:cs="David"/>
          <w:sz w:val="24"/>
          <w:szCs w:val="24"/>
          <w:rtl/>
        </w:rPr>
      </w:pPr>
    </w:p>
    <w:p w:rsidR="009B38A4" w:rsidRPr="00093D69" w:rsidRDefault="009B38A4" w:rsidP="009B38A4">
      <w:pPr>
        <w:pStyle w:val="ad"/>
        <w:numPr>
          <w:ilvl w:val="0"/>
          <w:numId w:val="1"/>
        </w:numPr>
        <w:spacing w:line="360" w:lineRule="auto"/>
        <w:jc w:val="both"/>
        <w:rPr>
          <w:rFonts w:ascii="David" w:hAnsi="David" w:cs="David"/>
          <w:b/>
          <w:bCs/>
          <w:sz w:val="24"/>
          <w:szCs w:val="24"/>
        </w:rPr>
      </w:pPr>
      <w:r w:rsidRPr="00093D69">
        <w:rPr>
          <w:rFonts w:ascii="David" w:hAnsi="David" w:cs="David"/>
          <w:sz w:val="24"/>
          <w:szCs w:val="24"/>
          <w:rtl/>
        </w:rPr>
        <w:t xml:space="preserve">במרוצת התפתחות הפסיקה בסוגיה זו נקבע,  כי המדובר </w:t>
      </w:r>
      <w:r w:rsidRPr="00093D69">
        <w:rPr>
          <w:rFonts w:ascii="David" w:hAnsi="David" w:cs="David"/>
          <w:b/>
          <w:bCs/>
          <w:sz w:val="24"/>
          <w:szCs w:val="24"/>
          <w:u w:val="single"/>
          <w:rtl/>
        </w:rPr>
        <w:t>במבחן עובדתי "טהור</w:t>
      </w:r>
      <w:r w:rsidRPr="00093D69">
        <w:rPr>
          <w:rFonts w:ascii="David" w:hAnsi="David" w:cs="David"/>
          <w:sz w:val="24"/>
          <w:szCs w:val="24"/>
          <w:rtl/>
        </w:rPr>
        <w:t>" (</w:t>
      </w:r>
      <w:r w:rsidRPr="00093D69">
        <w:rPr>
          <w:rFonts w:ascii="David" w:hAnsi="David" w:cs="David"/>
          <w:b/>
          <w:bCs/>
          <w:sz w:val="24"/>
          <w:szCs w:val="24"/>
          <w:rtl/>
        </w:rPr>
        <w:t>"</w:t>
      </w:r>
      <w:r w:rsidRPr="00093D69">
        <w:rPr>
          <w:rFonts w:ascii="David" w:hAnsi="David" w:cs="David"/>
          <w:b/>
          <w:bCs/>
          <w:sz w:val="24"/>
          <w:szCs w:val="24"/>
        </w:rPr>
        <w:t>Pure Fact</w:t>
      </w:r>
      <w:r w:rsidRPr="00093D69">
        <w:rPr>
          <w:rFonts w:ascii="David" w:hAnsi="David" w:cs="David"/>
          <w:b/>
          <w:bCs/>
          <w:sz w:val="24"/>
          <w:szCs w:val="24"/>
          <w:rtl/>
        </w:rPr>
        <w:t>")</w:t>
      </w:r>
      <w:r w:rsidRPr="00093D69">
        <w:rPr>
          <w:rFonts w:ascii="David" w:hAnsi="David" w:cs="David"/>
          <w:sz w:val="24"/>
          <w:szCs w:val="24"/>
          <w:rtl/>
        </w:rPr>
        <w:t xml:space="preserve">, שבמסגרתו נדרש בית המשפט לערוך בחינה מקיפה ומעמיקה, הכוללת, בין היתר, את כוונת ההורים, לרבות בראי מארג החלטותיהם, אך </w:t>
      </w:r>
      <w:r w:rsidRPr="00093D69">
        <w:rPr>
          <w:rFonts w:ascii="David" w:hAnsi="David" w:cs="David"/>
          <w:sz w:val="24"/>
          <w:szCs w:val="24"/>
          <w:u w:val="single"/>
          <w:rtl/>
        </w:rPr>
        <w:t>זאת בפריזמה עובדתית ולא כרכיב החיצוני לה</w:t>
      </w:r>
      <w:r w:rsidRPr="00093D69">
        <w:rPr>
          <w:rFonts w:ascii="David" w:hAnsi="David" w:cs="David"/>
          <w:sz w:val="24"/>
          <w:szCs w:val="24"/>
          <w:rtl/>
        </w:rPr>
        <w:t>; כדברי כב' השופט הנדל:</w:t>
      </w:r>
      <w:r w:rsidRPr="00093D69">
        <w:rPr>
          <w:rFonts w:ascii="David" w:hAnsi="David" w:cs="David"/>
          <w:b/>
          <w:bCs/>
          <w:sz w:val="24"/>
          <w:szCs w:val="24"/>
          <w:rtl/>
        </w:rPr>
        <w:t xml:space="preserve"> </w:t>
      </w:r>
    </w:p>
    <w:p w:rsidR="009B38A4" w:rsidRPr="00093D69" w:rsidRDefault="009B38A4" w:rsidP="009B38A4">
      <w:pPr>
        <w:pStyle w:val="10"/>
        <w:spacing w:line="360" w:lineRule="auto"/>
        <w:jc w:val="both"/>
        <w:rPr>
          <w:rFonts w:ascii="David" w:hAnsi="David"/>
          <w:sz w:val="18"/>
        </w:rPr>
      </w:pPr>
      <w:r w:rsidRPr="00093D69">
        <w:rPr>
          <w:rFonts w:ascii="David" w:hAnsi="David"/>
          <w:b/>
          <w:bCs/>
          <w:sz w:val="26"/>
          <w:rtl/>
        </w:rPr>
        <w:t>"</w:t>
      </w:r>
      <w:r w:rsidRPr="00093D69">
        <w:rPr>
          <w:rFonts w:ascii="David" w:hAnsi="David"/>
          <w:b/>
          <w:bCs/>
          <w:rtl/>
        </w:rPr>
        <w:t xml:space="preserve">העמדה לפיה </w:t>
      </w:r>
      <w:r w:rsidRPr="00093D69">
        <w:rPr>
          <w:rFonts w:ascii="David" w:hAnsi="David"/>
          <w:b/>
          <w:bCs/>
        </w:rPr>
        <w:t>Habitual Residence</w:t>
      </w:r>
      <w:r w:rsidRPr="00093D69">
        <w:rPr>
          <w:rFonts w:ascii="David" w:hAnsi="David"/>
          <w:b/>
          <w:bCs/>
          <w:rtl/>
        </w:rPr>
        <w:t xml:space="preserve"> ("מקום המגורים הרגיל") הינה סוגיה של "</w:t>
      </w:r>
      <w:r w:rsidRPr="00093D69">
        <w:rPr>
          <w:rFonts w:ascii="David" w:hAnsi="David"/>
          <w:b/>
          <w:bCs/>
        </w:rPr>
        <w:t>Pure Fact</w:t>
      </w:r>
      <w:r w:rsidRPr="00093D69">
        <w:rPr>
          <w:rFonts w:ascii="David" w:hAnsi="David"/>
          <w:b/>
          <w:bCs/>
          <w:rtl/>
        </w:rPr>
        <w:t xml:space="preserve">", עובדה טהורה, </w:t>
      </w:r>
      <w:r w:rsidRPr="00093D69">
        <w:rPr>
          <w:rFonts w:ascii="David" w:hAnsi="David"/>
          <w:b/>
          <w:bCs/>
          <w:u w:val="single"/>
          <w:rtl/>
        </w:rPr>
        <w:t>משמעה שעל הבדיקה להיות מקיפה ומעמיקה</w:t>
      </w:r>
      <w:r w:rsidRPr="00093D69">
        <w:rPr>
          <w:rFonts w:ascii="David" w:hAnsi="David"/>
          <w:b/>
          <w:bCs/>
          <w:rtl/>
        </w:rPr>
        <w:t xml:space="preserve">. התוצאה של הבירור העובדתי הטהור היא שלעיתים עובדה מסוימת תזכה למשקל רב בשקלול הסופי של כלל הנתונים ולעיתים עובדה אחרת תזכה בבכורה. בדיקה עובדתית טהורה חייבת להיות רחבה וכוללנית. </w:t>
      </w:r>
      <w:r w:rsidRPr="00093D69">
        <w:rPr>
          <w:rFonts w:ascii="David" w:hAnsi="David"/>
          <w:b/>
          <w:bCs/>
          <w:u w:val="single"/>
          <w:rtl/>
        </w:rPr>
        <w:t>מארג העובדות בהחלט יכלול את כוונות ההורים ואת ההחלטות שקיבלו, אך אין ליתן לכוונותיהם משקל עצמאי וחיצוני לבחינה העובדתית. הכוונה אף היא חלק מהתמונה העובדתית</w:t>
      </w:r>
      <w:r w:rsidRPr="00093D69">
        <w:rPr>
          <w:rFonts w:ascii="David" w:hAnsi="David"/>
          <w:b/>
          <w:bCs/>
          <w:rtl/>
        </w:rPr>
        <w:t xml:space="preserve">. מטבע הדברים, נתון הכוונה  מפנה את הבדיקה להורים. אף כאן יש לתת את </w:t>
      </w:r>
      <w:r w:rsidRPr="00093D69">
        <w:rPr>
          <w:rFonts w:ascii="David" w:hAnsi="David"/>
          <w:b/>
          <w:bCs/>
          <w:u w:val="single"/>
          <w:rtl/>
        </w:rPr>
        <w:t>המשקל הממשי למונח המדויק</w:t>
      </w:r>
      <w:r w:rsidRPr="00093D69">
        <w:rPr>
          <w:rFonts w:ascii="David" w:hAnsi="David"/>
          <w:b/>
          <w:bCs/>
          <w:rtl/>
        </w:rPr>
        <w:t xml:space="preserve"> </w:t>
      </w:r>
      <w:r w:rsidRPr="00093D69">
        <w:rPr>
          <w:rFonts w:ascii="David" w:hAnsi="David"/>
          <w:b/>
          <w:bCs/>
        </w:rPr>
        <w:t>Habitual Residence of the Child</w:t>
      </w:r>
      <w:r w:rsidRPr="00093D69">
        <w:rPr>
          <w:rFonts w:ascii="David" w:hAnsi="David"/>
          <w:b/>
          <w:bCs/>
          <w:rtl/>
        </w:rPr>
        <w:t xml:space="preserve"> – </w:t>
      </w:r>
      <w:r w:rsidRPr="00093D69">
        <w:rPr>
          <w:rFonts w:ascii="David" w:hAnsi="David"/>
          <w:b/>
          <w:bCs/>
          <w:u w:val="single"/>
          <w:rtl/>
        </w:rPr>
        <w:t>"מקום מגוריו הרגיל של הילד" השם את הזרקור על הילד</w:t>
      </w:r>
      <w:r w:rsidRPr="00093D69">
        <w:rPr>
          <w:rFonts w:ascii="David" w:hAnsi="David"/>
          <w:b/>
          <w:bCs/>
          <w:rtl/>
        </w:rPr>
        <w:t xml:space="preserve">. במובן זה יש </w:t>
      </w:r>
      <w:r w:rsidRPr="00093D69">
        <w:rPr>
          <w:rFonts w:ascii="David" w:hAnsi="David"/>
          <w:b/>
          <w:bCs/>
          <w:rtl/>
        </w:rPr>
        <w:lastRenderedPageBreak/>
        <w:t xml:space="preserve">לשמוע את קולו של הילד. זאת לא במובן בו בית המשפט ישאל אותו למקום מגוריו הרגיל שהרי אין אנו עוסקים בסוגיה סובייקטיבית, אלא במובן האובייקטיבי המופשט במידת מה. על פי ראייה זו חשוב לבחון את חיי הילד כפי שהם, אך המסקנה עשויה לכלול את כוונת ההורים שאף היא רלוונטית בתור עובדה. כמובן, יש חשיבות לשיקולים אחרים כגון מטרת הנסיעה למדינה אחרת, תחימת הנסיעה בזמן ואף גילו של הילד. </w:t>
      </w:r>
      <w:r w:rsidRPr="00093D69">
        <w:rPr>
          <w:rFonts w:ascii="David" w:hAnsi="David"/>
          <w:b/>
          <w:bCs/>
          <w:u w:val="single"/>
          <w:rtl/>
        </w:rPr>
        <w:t>ודוק, יש לבחון לא את מקום מגוריו של הילד כי אם את מקום מגוריו הרגיל על המשתמע מכך</w:t>
      </w:r>
      <w:r w:rsidRPr="00093D69">
        <w:rPr>
          <w:rFonts w:ascii="David" w:hAnsi="David"/>
          <w:b/>
          <w:bCs/>
          <w:rtl/>
        </w:rPr>
        <w:t xml:space="preserve">. </w:t>
      </w:r>
      <w:r w:rsidRPr="00093D69">
        <w:rPr>
          <w:rFonts w:ascii="David" w:hAnsi="David"/>
          <w:b/>
          <w:bCs/>
          <w:sz w:val="26"/>
          <w:u w:val="single"/>
          <w:rtl/>
        </w:rPr>
        <w:t>התמקדות בעובדות, להבדיל משילוב בין מבחן עובדתי למבחן כוונתי, תביא לתוצאות שונות שלא על בסיס קיומן של אסכולות משפטיות מתחרות, כי אם על בסיס המארג העובדתי הייחודי לכל מקרה ומקרה</w:t>
      </w:r>
      <w:r w:rsidRPr="00093D69">
        <w:rPr>
          <w:rFonts w:ascii="David" w:hAnsi="David"/>
          <w:b/>
          <w:bCs/>
          <w:sz w:val="26"/>
          <w:rtl/>
        </w:rPr>
        <w:t>. יודגש אף כי גם בחינת העובדות לא נעשית מנקודת המבט של ההורים אלא מנקודת מבטו של הילד, בבחינה אובייקטיבית של נקודת מבט זו. רוצה לומר, בבוא בית המשפט להניח את אצבעו על מפת העולם, להצביע על אחת המדינות ולקבוע "כאן מקום מגוריו הרגיל של הקטין", עליו לשוות לנגד עיניו את מפת עולמו של הקטין, על פסיפס העובדות המרכיבות אותה"</w:t>
      </w:r>
      <w:r w:rsidRPr="00093D69">
        <w:rPr>
          <w:rFonts w:ascii="David" w:hAnsi="David"/>
          <w:sz w:val="26"/>
          <w:szCs w:val="26"/>
          <w:rtl/>
        </w:rPr>
        <w:t xml:space="preserve"> </w:t>
      </w:r>
      <w:r w:rsidRPr="00093D69">
        <w:rPr>
          <w:rFonts w:ascii="David" w:hAnsi="David"/>
          <w:sz w:val="18"/>
          <w:rtl/>
        </w:rPr>
        <w:t xml:space="preserve">בע"מ 7784/12 </w:t>
      </w:r>
      <w:r w:rsidRPr="00093D69">
        <w:rPr>
          <w:rFonts w:ascii="David" w:hAnsi="David"/>
          <w:b/>
          <w:bCs/>
          <w:sz w:val="18"/>
          <w:rtl/>
        </w:rPr>
        <w:t xml:space="preserve">פלונית נ' פלוני </w:t>
      </w:r>
      <w:r w:rsidRPr="00093D69">
        <w:rPr>
          <w:rFonts w:ascii="David" w:hAnsi="David"/>
          <w:sz w:val="18"/>
          <w:rtl/>
        </w:rPr>
        <w:t>(פורסם במאגרים המשפטיים, 28.7.2013, עמ' 18-19 לפסה"ד, הדגשות לא במקור).</w:t>
      </w:r>
    </w:p>
    <w:p w:rsidR="009B38A4" w:rsidRPr="00093D69" w:rsidRDefault="009B38A4" w:rsidP="009B38A4">
      <w:pPr>
        <w:pStyle w:val="ad"/>
        <w:rPr>
          <w:rFonts w:ascii="David" w:hAnsi="David" w:cs="David"/>
          <w:b/>
          <w:bCs/>
          <w:sz w:val="24"/>
          <w:szCs w:val="24"/>
          <w:rtl/>
        </w:rPr>
      </w:pPr>
    </w:p>
    <w:p w:rsidR="00093D69" w:rsidRPr="00093D69" w:rsidRDefault="00093D69" w:rsidP="009B38A4">
      <w:pPr>
        <w:pStyle w:val="10"/>
        <w:spacing w:line="360" w:lineRule="auto"/>
        <w:ind w:left="360"/>
        <w:jc w:val="both"/>
        <w:rPr>
          <w:rFonts w:ascii="David" w:hAnsi="David"/>
          <w:b/>
          <w:bCs/>
          <w:u w:val="single"/>
          <w:rtl/>
        </w:rPr>
      </w:pPr>
    </w:p>
    <w:p w:rsidR="00093D69" w:rsidRPr="00093D69" w:rsidRDefault="00093D69" w:rsidP="009B38A4">
      <w:pPr>
        <w:pStyle w:val="10"/>
        <w:spacing w:line="360" w:lineRule="auto"/>
        <w:ind w:left="360"/>
        <w:jc w:val="both"/>
        <w:rPr>
          <w:rFonts w:ascii="David" w:hAnsi="David"/>
          <w:b/>
          <w:bCs/>
          <w:u w:val="single"/>
          <w:rtl/>
        </w:rPr>
      </w:pPr>
    </w:p>
    <w:p w:rsidR="009B38A4" w:rsidRPr="00093D69" w:rsidRDefault="00093D69" w:rsidP="009B38A4">
      <w:pPr>
        <w:pStyle w:val="10"/>
        <w:spacing w:line="360" w:lineRule="auto"/>
        <w:ind w:left="360"/>
        <w:jc w:val="both"/>
        <w:rPr>
          <w:rFonts w:ascii="David" w:hAnsi="David"/>
          <w:b/>
          <w:bCs/>
          <w:u w:val="single"/>
          <w:rtl/>
        </w:rPr>
      </w:pPr>
      <w:r w:rsidRPr="00093D69">
        <w:rPr>
          <w:rFonts w:ascii="David" w:hAnsi="David"/>
          <w:b/>
          <w:bCs/>
          <w:u w:val="single"/>
          <w:rtl/>
        </w:rPr>
        <w:t>ק</w:t>
      </w:r>
      <w:r w:rsidR="009B38A4" w:rsidRPr="00093D69">
        <w:rPr>
          <w:rFonts w:ascii="David" w:hAnsi="David"/>
          <w:b/>
          <w:bCs/>
          <w:u w:val="single"/>
          <w:rtl/>
        </w:rPr>
        <w:t>יום זכויות משמורת והפרתן</w:t>
      </w:r>
    </w:p>
    <w:p w:rsidR="00093D69" w:rsidRPr="00115031" w:rsidRDefault="00093D69" w:rsidP="009B38A4">
      <w:pPr>
        <w:pStyle w:val="10"/>
        <w:spacing w:line="360" w:lineRule="auto"/>
        <w:ind w:left="360"/>
        <w:jc w:val="both"/>
        <w:rPr>
          <w:rFonts w:ascii="David" w:hAnsi="David"/>
          <w:b/>
          <w:bCs/>
          <w:sz w:val="8"/>
          <w:szCs w:val="8"/>
          <w:u w:val="single"/>
          <w:rtl/>
        </w:rPr>
      </w:pPr>
    </w:p>
    <w:p w:rsidR="009B38A4" w:rsidRPr="00093D69" w:rsidRDefault="009B38A4" w:rsidP="009B38A4">
      <w:pPr>
        <w:pStyle w:val="10"/>
        <w:numPr>
          <w:ilvl w:val="0"/>
          <w:numId w:val="1"/>
        </w:numPr>
        <w:spacing w:line="360" w:lineRule="auto"/>
        <w:jc w:val="both"/>
        <w:rPr>
          <w:rFonts w:ascii="David" w:hAnsi="David"/>
        </w:rPr>
      </w:pPr>
      <w:r w:rsidRPr="00093D69">
        <w:rPr>
          <w:rFonts w:ascii="David" w:hAnsi="David"/>
          <w:rtl/>
        </w:rPr>
        <w:t xml:space="preserve">כך גם יש לבחון, בהתאם להוראות החוק והאמנה דבר </w:t>
      </w:r>
      <w:r w:rsidRPr="00093D69">
        <w:rPr>
          <w:rFonts w:ascii="David" w:hAnsi="David"/>
          <w:b/>
          <w:bCs/>
          <w:u w:val="single"/>
          <w:rtl/>
        </w:rPr>
        <w:t>קיומן של זכויות משמורת והפרתן</w:t>
      </w:r>
      <w:r w:rsidRPr="00093D69">
        <w:rPr>
          <w:rFonts w:ascii="David" w:hAnsi="David"/>
          <w:rtl/>
        </w:rPr>
        <w:t>.</w:t>
      </w:r>
    </w:p>
    <w:p w:rsidR="009B38A4" w:rsidRPr="00093D69" w:rsidRDefault="009B38A4" w:rsidP="009B38A4">
      <w:pPr>
        <w:pStyle w:val="10"/>
        <w:spacing w:line="360" w:lineRule="auto"/>
        <w:jc w:val="both"/>
        <w:rPr>
          <w:rFonts w:ascii="David" w:hAnsi="David"/>
          <w:b/>
          <w:bCs/>
        </w:rPr>
      </w:pPr>
    </w:p>
    <w:p w:rsidR="009B38A4" w:rsidRPr="00093D69" w:rsidRDefault="009B38A4" w:rsidP="009B38A4">
      <w:pPr>
        <w:pStyle w:val="10"/>
        <w:numPr>
          <w:ilvl w:val="0"/>
          <w:numId w:val="1"/>
        </w:numPr>
        <w:spacing w:line="360" w:lineRule="auto"/>
        <w:jc w:val="both"/>
        <w:rPr>
          <w:rFonts w:ascii="David" w:hAnsi="David"/>
          <w:b/>
          <w:bCs/>
        </w:rPr>
      </w:pPr>
      <w:r w:rsidRPr="00093D69">
        <w:rPr>
          <w:rFonts w:ascii="David" w:hAnsi="David"/>
          <w:u w:val="single"/>
          <w:rtl/>
        </w:rPr>
        <w:lastRenderedPageBreak/>
        <w:t>אופן סיווג פעולה כהרחקה או אי החזרת קטין שלא כדין</w:t>
      </w:r>
      <w:r w:rsidRPr="00093D69">
        <w:rPr>
          <w:rFonts w:ascii="David" w:hAnsi="David"/>
          <w:rtl/>
        </w:rPr>
        <w:t xml:space="preserve"> קבוע בהוראת סעיף 3 לאמנה, לפיה: </w:t>
      </w:r>
      <w:r w:rsidRPr="00093D69">
        <w:rPr>
          <w:rFonts w:ascii="David" w:hAnsi="David"/>
          <w:b/>
          <w:bCs/>
          <w:rtl/>
        </w:rPr>
        <w:t>"</w:t>
      </w:r>
      <w:r w:rsidRPr="00093D69">
        <w:rPr>
          <w:rFonts w:ascii="David" w:hAnsi="David"/>
          <w:b/>
          <w:bCs/>
          <w:sz w:val="22"/>
          <w:szCs w:val="22"/>
          <w:rtl/>
        </w:rPr>
        <w:t xml:space="preserve">הרחקתו או אי החזרתו של ילד תיחשב לא כדין כאשר </w:t>
      </w:r>
      <w:r w:rsidRPr="00093D69">
        <w:rPr>
          <w:rFonts w:ascii="David" w:hAnsi="David"/>
          <w:b/>
          <w:bCs/>
          <w:rtl/>
        </w:rPr>
        <w:t>–</w:t>
      </w:r>
    </w:p>
    <w:p w:rsidR="009B38A4" w:rsidRPr="00093D69" w:rsidRDefault="009B38A4" w:rsidP="009B38A4">
      <w:pPr>
        <w:ind w:left="1440" w:right="-425"/>
        <w:jc w:val="both"/>
        <w:rPr>
          <w:rFonts w:ascii="David" w:hAnsi="David"/>
          <w:b/>
          <w:bCs/>
          <w:rtl/>
        </w:rPr>
      </w:pPr>
      <w:r w:rsidRPr="00093D69">
        <w:rPr>
          <w:rFonts w:ascii="David" w:hAnsi="David"/>
          <w:b/>
          <w:bCs/>
          <w:rtl/>
        </w:rPr>
        <w:t>(א) יש בהן הפרת זכויות המשמורת המוענקות לאדם, למוסד או לכל גוף אחר, בין במאוחד ובין בנפרד, על פי דין המדינה שבה היה מקום מגוריו הרגיל של הקטין סמוך לפני הרחקתו או אי החזרתו, וכן</w:t>
      </w:r>
    </w:p>
    <w:p w:rsidR="009B38A4" w:rsidRPr="00093D69" w:rsidRDefault="009B38A4" w:rsidP="009B38A4">
      <w:pPr>
        <w:ind w:left="1440" w:right="-425"/>
        <w:jc w:val="both"/>
        <w:rPr>
          <w:rFonts w:ascii="David" w:hAnsi="David"/>
          <w:b/>
          <w:bCs/>
          <w:rtl/>
        </w:rPr>
      </w:pPr>
      <w:r w:rsidRPr="00093D69">
        <w:rPr>
          <w:rFonts w:ascii="David" w:hAnsi="David"/>
          <w:b/>
          <w:bCs/>
          <w:rtl/>
        </w:rPr>
        <w:t>(ב) בעת ההרחקה או אי ההחזרה הופעלו אותן זכויות בפועל, בין במאוחד ובין בנפרד, או שהיו מופעלות כך אלמלא ההרחקה או אי ההחזרה.</w:t>
      </w:r>
    </w:p>
    <w:p w:rsidR="009B38A4" w:rsidRPr="00093D69" w:rsidRDefault="009B38A4" w:rsidP="009B38A4">
      <w:pPr>
        <w:ind w:left="1440" w:right="-425"/>
        <w:jc w:val="both"/>
        <w:rPr>
          <w:rFonts w:ascii="David" w:hAnsi="David"/>
          <w:b/>
          <w:bCs/>
          <w:rtl/>
        </w:rPr>
      </w:pPr>
      <w:r w:rsidRPr="00093D69">
        <w:rPr>
          <w:rFonts w:ascii="David" w:hAnsi="David"/>
          <w:b/>
          <w:bCs/>
          <w:rtl/>
        </w:rPr>
        <w:t>זכויות המשמורת הנזכרות בסעיף קטן (א) יכול שינבעו במיוחד מכוח דין, החלטה שיפוטית או מינהלית או הסכם בעל תוקף משפטי על פי דין אותה מדינה".</w:t>
      </w:r>
    </w:p>
    <w:p w:rsidR="009B38A4" w:rsidRPr="00093D69" w:rsidRDefault="009B38A4" w:rsidP="009B38A4">
      <w:pPr>
        <w:pStyle w:val="10"/>
        <w:spacing w:line="360" w:lineRule="auto"/>
        <w:jc w:val="both"/>
        <w:rPr>
          <w:rFonts w:ascii="David" w:hAnsi="David"/>
          <w:rtl/>
        </w:rPr>
      </w:pPr>
    </w:p>
    <w:p w:rsidR="009B38A4" w:rsidRPr="00093D69" w:rsidRDefault="009B38A4" w:rsidP="009B38A4">
      <w:pPr>
        <w:pStyle w:val="10"/>
        <w:spacing w:line="360" w:lineRule="auto"/>
        <w:jc w:val="both"/>
        <w:rPr>
          <w:rStyle w:val="default"/>
          <w:rFonts w:ascii="David" w:hAnsi="David" w:cs="David"/>
          <w:noProof w:val="0"/>
          <w:sz w:val="22"/>
          <w:szCs w:val="22"/>
          <w:rtl/>
        </w:rPr>
      </w:pPr>
      <w:r w:rsidRPr="00093D69">
        <w:rPr>
          <w:rFonts w:ascii="David" w:hAnsi="David"/>
          <w:u w:val="single"/>
          <w:rtl/>
        </w:rPr>
        <w:t xml:space="preserve">הוראת סעיף </w:t>
      </w:r>
      <w:r w:rsidRPr="00093D69">
        <w:rPr>
          <w:rFonts w:ascii="David" w:hAnsi="David"/>
          <w:noProof w:val="0"/>
          <w:u w:val="single"/>
          <w:rtl/>
        </w:rPr>
        <w:t>5(א) לאמנה מגדירה מהן זכויות המשמורת וזכויות הביקור</w:t>
      </w:r>
      <w:r w:rsidRPr="00093D69">
        <w:rPr>
          <w:rFonts w:ascii="David" w:hAnsi="David"/>
          <w:noProof w:val="0"/>
          <w:rtl/>
        </w:rPr>
        <w:t xml:space="preserve">: </w:t>
      </w:r>
      <w:r w:rsidRPr="00093D69">
        <w:rPr>
          <w:rFonts w:ascii="David" w:hAnsi="David"/>
          <w:noProof w:val="0"/>
          <w:sz w:val="22"/>
          <w:szCs w:val="22"/>
          <w:rtl/>
        </w:rPr>
        <w:t>"</w:t>
      </w:r>
      <w:r w:rsidRPr="00093D69">
        <w:rPr>
          <w:rFonts w:ascii="David" w:hAnsi="David"/>
          <w:b/>
          <w:bCs/>
          <w:noProof w:val="0"/>
          <w:sz w:val="22"/>
          <w:szCs w:val="22"/>
          <w:rtl/>
        </w:rPr>
        <w:t>זכויות משמורת</w:t>
      </w:r>
      <w:r w:rsidRPr="00093D69">
        <w:rPr>
          <w:rFonts w:ascii="David" w:hAnsi="David"/>
          <w:noProof w:val="0"/>
          <w:sz w:val="22"/>
          <w:szCs w:val="22"/>
          <w:rtl/>
        </w:rPr>
        <w:t>" - "</w:t>
      </w:r>
      <w:r w:rsidRPr="00093D69">
        <w:rPr>
          <w:rFonts w:ascii="David" w:hAnsi="David"/>
          <w:b/>
          <w:bCs/>
          <w:noProof w:val="0"/>
          <w:sz w:val="22"/>
          <w:szCs w:val="22"/>
          <w:rtl/>
        </w:rPr>
        <w:t>לרבות זכויות המתייחסות לגוף הילד ובפרט הזכות לקבוע את מקום מגוריו של הילד</w:t>
      </w:r>
      <w:r w:rsidRPr="00093D69">
        <w:rPr>
          <w:rFonts w:ascii="David" w:hAnsi="David"/>
          <w:noProof w:val="0"/>
          <w:sz w:val="22"/>
          <w:szCs w:val="22"/>
          <w:rtl/>
        </w:rPr>
        <w:t xml:space="preserve">"; </w:t>
      </w:r>
      <w:r w:rsidRPr="00093D69">
        <w:rPr>
          <w:rStyle w:val="default"/>
          <w:rFonts w:ascii="David" w:hAnsi="David" w:cs="David"/>
          <w:u w:val="single"/>
          <w:rtl/>
        </w:rPr>
        <w:t>ובהשלמה קובע סעיף 14 לאמנה</w:t>
      </w:r>
      <w:r w:rsidRPr="00093D69">
        <w:rPr>
          <w:rStyle w:val="default"/>
          <w:rFonts w:ascii="David" w:hAnsi="David" w:cs="David"/>
          <w:rtl/>
        </w:rPr>
        <w:t xml:space="preserve">, כי </w:t>
      </w:r>
      <w:r w:rsidRPr="00093D69">
        <w:rPr>
          <w:rStyle w:val="default"/>
          <w:rFonts w:ascii="David" w:hAnsi="David" w:cs="David"/>
          <w:b/>
          <w:bCs/>
          <w:noProof w:val="0"/>
          <w:sz w:val="22"/>
          <w:szCs w:val="22"/>
          <w:rtl/>
        </w:rPr>
        <w:t>"</w:t>
      </w:r>
      <w:r w:rsidRPr="00093D69">
        <w:rPr>
          <w:rStyle w:val="default"/>
          <w:rFonts w:ascii="David" w:hAnsi="David" w:cs="David"/>
          <w:b/>
          <w:bCs/>
          <w:noProof w:val="0"/>
          <w:sz w:val="24"/>
          <w:szCs w:val="24"/>
          <w:rtl/>
        </w:rPr>
        <w:t xml:space="preserve">בבואן לברר אם </w:t>
      </w:r>
      <w:proofErr w:type="spellStart"/>
      <w:r w:rsidRPr="00093D69">
        <w:rPr>
          <w:rStyle w:val="default"/>
          <w:rFonts w:ascii="David" w:hAnsi="David" w:cs="David"/>
          <w:b/>
          <w:bCs/>
          <w:noProof w:val="0"/>
          <w:sz w:val="24"/>
          <w:szCs w:val="24"/>
          <w:rtl/>
        </w:rPr>
        <w:t>היתה</w:t>
      </w:r>
      <w:proofErr w:type="spellEnd"/>
      <w:r w:rsidRPr="00093D69">
        <w:rPr>
          <w:rStyle w:val="default"/>
          <w:rFonts w:ascii="David" w:hAnsi="David" w:cs="David"/>
          <w:b/>
          <w:bCs/>
          <w:noProof w:val="0"/>
          <w:sz w:val="24"/>
          <w:szCs w:val="24"/>
          <w:rtl/>
        </w:rPr>
        <w:t xml:space="preserve"> הרחקה או אי החזרה, שלא כדין, כמשמעותן בסעיף 3, רשאיות </w:t>
      </w:r>
      <w:r w:rsidRPr="00093D69">
        <w:rPr>
          <w:rFonts w:ascii="David" w:hAnsi="David"/>
          <w:b/>
          <w:bCs/>
          <w:noProof w:val="0"/>
          <w:rtl/>
        </w:rPr>
        <w:t>הרשויות</w:t>
      </w:r>
      <w:r w:rsidRPr="00093D69">
        <w:rPr>
          <w:rStyle w:val="default"/>
          <w:rFonts w:ascii="David" w:hAnsi="David" w:cs="David"/>
          <w:b/>
          <w:bCs/>
          <w:noProof w:val="0"/>
          <w:sz w:val="24"/>
          <w:szCs w:val="24"/>
          <w:rtl/>
        </w:rPr>
        <w:t xml:space="preserve"> השיפוטיות או </w:t>
      </w:r>
      <w:proofErr w:type="spellStart"/>
      <w:r w:rsidRPr="00093D69">
        <w:rPr>
          <w:rStyle w:val="default"/>
          <w:rFonts w:ascii="David" w:hAnsi="David" w:cs="David"/>
          <w:b/>
          <w:bCs/>
          <w:noProof w:val="0"/>
          <w:sz w:val="24"/>
          <w:szCs w:val="24"/>
          <w:rtl/>
        </w:rPr>
        <w:t>המינהליות</w:t>
      </w:r>
      <w:proofErr w:type="spellEnd"/>
      <w:r w:rsidRPr="00093D69">
        <w:rPr>
          <w:rStyle w:val="default"/>
          <w:rFonts w:ascii="David" w:hAnsi="David" w:cs="David"/>
          <w:b/>
          <w:bCs/>
          <w:noProof w:val="0"/>
          <w:sz w:val="24"/>
          <w:szCs w:val="24"/>
          <w:rtl/>
        </w:rPr>
        <w:t xml:space="preserve"> של המדינה המתבקשת להתייחס ישירות לדין המדינה שבה נמצא מקום מגוריו הרגיל של הילד, וכן להחלטות שיפוטיות או </w:t>
      </w:r>
      <w:proofErr w:type="spellStart"/>
      <w:r w:rsidRPr="00093D69">
        <w:rPr>
          <w:rStyle w:val="default"/>
          <w:rFonts w:ascii="David" w:hAnsi="David" w:cs="David"/>
          <w:b/>
          <w:bCs/>
          <w:noProof w:val="0"/>
          <w:sz w:val="24"/>
          <w:szCs w:val="24"/>
          <w:rtl/>
        </w:rPr>
        <w:t>מינהליות</w:t>
      </w:r>
      <w:proofErr w:type="spellEnd"/>
      <w:r w:rsidRPr="00093D69">
        <w:rPr>
          <w:rStyle w:val="default"/>
          <w:rFonts w:ascii="David" w:hAnsi="David" w:cs="David"/>
          <w:b/>
          <w:bCs/>
          <w:noProof w:val="0"/>
          <w:sz w:val="24"/>
          <w:szCs w:val="24"/>
          <w:rtl/>
        </w:rPr>
        <w:t xml:space="preserve"> של אותה מדינה בין אם הוכרו פורמלית באותה מדינה ובין אם לאו, זאת מבלי להזדקק להליכים מיוחדים להוכחת אותו דין או להכרה בהחלטות זרות, שהיו נדרשים לולא הוראה זו".</w:t>
      </w:r>
      <w:r w:rsidRPr="00093D69">
        <w:rPr>
          <w:rStyle w:val="default"/>
          <w:rFonts w:ascii="David" w:hAnsi="David" w:cs="David"/>
          <w:b/>
          <w:bCs/>
          <w:noProof w:val="0"/>
          <w:sz w:val="22"/>
          <w:szCs w:val="22"/>
          <w:rtl/>
        </w:rPr>
        <w:t xml:space="preserve"> </w:t>
      </w:r>
      <w:r w:rsidRPr="00093D69">
        <w:rPr>
          <w:rStyle w:val="default"/>
          <w:rFonts w:ascii="David" w:hAnsi="David" w:cs="David"/>
          <w:noProof w:val="0"/>
          <w:sz w:val="22"/>
          <w:szCs w:val="22"/>
          <w:rtl/>
        </w:rPr>
        <w:t xml:space="preserve"> </w:t>
      </w:r>
    </w:p>
    <w:p w:rsidR="009B38A4" w:rsidRPr="00093D69" w:rsidRDefault="009B38A4" w:rsidP="009B38A4">
      <w:pPr>
        <w:pStyle w:val="10"/>
        <w:spacing w:line="360" w:lineRule="auto"/>
        <w:jc w:val="both"/>
        <w:rPr>
          <w:rStyle w:val="default"/>
          <w:rFonts w:ascii="David" w:hAnsi="David" w:cs="David"/>
          <w:noProof w:val="0"/>
          <w:sz w:val="22"/>
          <w:szCs w:val="22"/>
          <w:rtl/>
        </w:rPr>
      </w:pPr>
    </w:p>
    <w:p w:rsidR="009B38A4" w:rsidRPr="00093D69" w:rsidRDefault="009B38A4" w:rsidP="009B38A4">
      <w:pPr>
        <w:pStyle w:val="10"/>
        <w:numPr>
          <w:ilvl w:val="0"/>
          <w:numId w:val="1"/>
        </w:numPr>
        <w:spacing w:line="360" w:lineRule="auto"/>
        <w:jc w:val="both"/>
        <w:rPr>
          <w:rStyle w:val="default"/>
          <w:rFonts w:ascii="David" w:hAnsi="David" w:cs="David"/>
          <w:noProof w:val="0"/>
          <w:rtl/>
        </w:rPr>
      </w:pPr>
      <w:r w:rsidRPr="00093D69">
        <w:rPr>
          <w:rStyle w:val="default"/>
          <w:rFonts w:ascii="David" w:hAnsi="David" w:cs="David"/>
          <w:noProof w:val="0"/>
          <w:u w:val="single"/>
          <w:rtl/>
        </w:rPr>
        <w:t>הדיבור "זכויות משמורת</w:t>
      </w:r>
      <w:r w:rsidRPr="00093D69">
        <w:rPr>
          <w:rStyle w:val="default"/>
          <w:rFonts w:ascii="David" w:hAnsi="David" w:cs="David"/>
          <w:noProof w:val="0"/>
          <w:rtl/>
        </w:rPr>
        <w:t xml:space="preserve">" שבאמנה </w:t>
      </w:r>
      <w:r w:rsidRPr="00093D69">
        <w:rPr>
          <w:rStyle w:val="default"/>
          <w:rFonts w:ascii="David" w:hAnsi="David" w:cs="David"/>
          <w:noProof w:val="0"/>
          <w:u w:val="single"/>
          <w:rtl/>
        </w:rPr>
        <w:t>פורש באופן מרחיב</w:t>
      </w:r>
      <w:r w:rsidRPr="00093D69">
        <w:rPr>
          <w:rStyle w:val="default"/>
          <w:rFonts w:ascii="David" w:hAnsi="David" w:cs="David"/>
          <w:noProof w:val="0"/>
          <w:rtl/>
        </w:rPr>
        <w:t xml:space="preserve"> בפסיקת בית המשפט העליון, בין היתר, על מנת שלא לרוקן מתוכן את תכלית האמנה ויעדיה, כעולה בבירור מפסק הדין בעניין </w:t>
      </w:r>
      <w:proofErr w:type="spellStart"/>
      <w:r w:rsidRPr="00093D69">
        <w:rPr>
          <w:rStyle w:val="default"/>
          <w:rFonts w:ascii="David" w:hAnsi="David" w:cs="David"/>
          <w:noProof w:val="0"/>
          <w:rtl/>
        </w:rPr>
        <w:t>פוקסמן</w:t>
      </w:r>
      <w:proofErr w:type="spellEnd"/>
      <w:r w:rsidRPr="00093D69">
        <w:rPr>
          <w:rStyle w:val="default"/>
          <w:rFonts w:ascii="David" w:hAnsi="David" w:cs="David"/>
          <w:noProof w:val="0"/>
          <w:rtl/>
        </w:rPr>
        <w:t>:</w:t>
      </w:r>
    </w:p>
    <w:p w:rsidR="009B38A4" w:rsidRPr="00093D69" w:rsidRDefault="009B38A4" w:rsidP="009B38A4">
      <w:pPr>
        <w:pStyle w:val="10"/>
        <w:spacing w:line="360" w:lineRule="auto"/>
        <w:jc w:val="both"/>
        <w:rPr>
          <w:rStyle w:val="default"/>
          <w:rFonts w:ascii="David" w:hAnsi="David" w:cs="David"/>
          <w:noProof w:val="0"/>
        </w:rPr>
      </w:pPr>
    </w:p>
    <w:p w:rsidR="009B38A4" w:rsidRPr="00093D69" w:rsidRDefault="009B38A4" w:rsidP="009B38A4">
      <w:pPr>
        <w:pStyle w:val="10"/>
        <w:spacing w:line="360" w:lineRule="auto"/>
        <w:jc w:val="both"/>
        <w:rPr>
          <w:rStyle w:val="default"/>
          <w:rFonts w:ascii="David" w:hAnsi="David" w:cs="David"/>
          <w:noProof w:val="0"/>
          <w:rtl/>
        </w:rPr>
      </w:pPr>
      <w:r w:rsidRPr="00093D69">
        <w:rPr>
          <w:rStyle w:val="default"/>
          <w:rFonts w:ascii="David" w:hAnsi="David" w:cs="David"/>
          <w:noProof w:val="0"/>
          <w:rtl/>
        </w:rPr>
        <w:lastRenderedPageBreak/>
        <w:t xml:space="preserve"> </w:t>
      </w:r>
      <w:r w:rsidRPr="00093D69">
        <w:rPr>
          <w:rFonts w:ascii="David" w:hAnsi="David"/>
          <w:b/>
          <w:bCs/>
          <w:sz w:val="22"/>
          <w:rtl/>
        </w:rPr>
        <w:t xml:space="preserve">"מקובל עלינו שלצורך האמנה והחוק </w:t>
      </w:r>
      <w:r w:rsidRPr="00093D69">
        <w:rPr>
          <w:rFonts w:ascii="David" w:hAnsi="David"/>
          <w:b/>
          <w:bCs/>
          <w:sz w:val="22"/>
          <w:u w:val="single"/>
          <w:rtl/>
        </w:rPr>
        <w:t>יש לפרש את הדיבור "זכויות משמורת" על דרך ההרחבה, כך שיחול על כל מקרה שבו יש צורך בהסכמת אחד ההורים להוצאת ילדים מארץ אחת לארץ אחרת</w:t>
      </w:r>
      <w:r w:rsidRPr="00093D69">
        <w:rPr>
          <w:rFonts w:ascii="David" w:hAnsi="David"/>
          <w:b/>
          <w:bCs/>
          <w:sz w:val="22"/>
          <w:rtl/>
        </w:rPr>
        <w:t xml:space="preserve"> </w:t>
      </w:r>
      <w:r w:rsidRPr="00093D69">
        <w:rPr>
          <w:rFonts w:ascii="David" w:hAnsi="David"/>
          <w:b/>
          <w:bCs/>
          <w:sz w:val="22"/>
          <w:u w:val="single"/>
          <w:rtl/>
        </w:rPr>
        <w:t>וכחטיפה יחשב כל מקרה של העברת ילדים ממדינה למדינה בניגוד להסכמתו של ההורה שלו הזכות להסכים או שלא להסכים לכך והסכמתו לא ניתנה</w:t>
      </w:r>
      <w:r w:rsidRPr="00093D69">
        <w:rPr>
          <w:rFonts w:ascii="David" w:hAnsi="David"/>
          <w:b/>
          <w:bCs/>
          <w:sz w:val="22"/>
          <w:rtl/>
        </w:rPr>
        <w:t xml:space="preserve"> (ראה סעיף </w:t>
      </w:r>
      <w:r w:rsidRPr="00093D69">
        <w:rPr>
          <w:rFonts w:ascii="David" w:hAnsi="David"/>
          <w:b/>
          <w:bCs/>
          <w:sz w:val="22"/>
        </w:rPr>
        <w:t xml:space="preserve"> 5</w:t>
      </w:r>
      <w:r w:rsidRPr="00093D69">
        <w:rPr>
          <w:rFonts w:ascii="David" w:hAnsi="David"/>
          <w:b/>
          <w:bCs/>
          <w:sz w:val="22"/>
          <w:rtl/>
        </w:rPr>
        <w:t xml:space="preserve">לאמנה)" </w:t>
      </w:r>
      <w:r w:rsidRPr="00093D69">
        <w:rPr>
          <w:rStyle w:val="default"/>
          <w:rFonts w:ascii="David" w:hAnsi="David" w:cs="David"/>
          <w:noProof w:val="0"/>
          <w:rtl/>
        </w:rPr>
        <w:t xml:space="preserve">ע"א 5271/92 </w:t>
      </w:r>
      <w:r w:rsidRPr="00093D69">
        <w:rPr>
          <w:rStyle w:val="default"/>
          <w:rFonts w:ascii="David" w:hAnsi="David" w:cs="David"/>
          <w:b/>
          <w:bCs/>
          <w:noProof w:val="0"/>
          <w:rtl/>
        </w:rPr>
        <w:t xml:space="preserve">מצא סואן </w:t>
      </w:r>
      <w:proofErr w:type="spellStart"/>
      <w:r w:rsidRPr="00093D69">
        <w:rPr>
          <w:rStyle w:val="default"/>
          <w:rFonts w:ascii="David" w:hAnsi="David" w:cs="David"/>
          <w:b/>
          <w:bCs/>
          <w:noProof w:val="0"/>
          <w:rtl/>
        </w:rPr>
        <w:t>פוקסמן</w:t>
      </w:r>
      <w:proofErr w:type="spellEnd"/>
      <w:r w:rsidRPr="00093D69">
        <w:rPr>
          <w:rStyle w:val="default"/>
          <w:rFonts w:ascii="David" w:hAnsi="David" w:cs="David"/>
          <w:b/>
          <w:bCs/>
          <w:noProof w:val="0"/>
          <w:rtl/>
        </w:rPr>
        <w:t xml:space="preserve"> נ' סטפן </w:t>
      </w:r>
      <w:proofErr w:type="spellStart"/>
      <w:r w:rsidRPr="00093D69">
        <w:rPr>
          <w:rStyle w:val="default"/>
          <w:rFonts w:ascii="David" w:hAnsi="David" w:cs="David"/>
          <w:b/>
          <w:bCs/>
          <w:noProof w:val="0"/>
          <w:rtl/>
        </w:rPr>
        <w:t>פוקסמן</w:t>
      </w:r>
      <w:proofErr w:type="spellEnd"/>
      <w:r w:rsidRPr="00093D69">
        <w:rPr>
          <w:rStyle w:val="default"/>
          <w:rFonts w:ascii="David" w:hAnsi="David" w:cs="David"/>
          <w:b/>
          <w:bCs/>
          <w:noProof w:val="0"/>
          <w:rtl/>
        </w:rPr>
        <w:t xml:space="preserve"> </w:t>
      </w:r>
      <w:r w:rsidRPr="00093D69">
        <w:rPr>
          <w:rStyle w:val="default"/>
          <w:rFonts w:ascii="David" w:hAnsi="David" w:cs="David"/>
          <w:noProof w:val="0"/>
          <w:rtl/>
        </w:rPr>
        <w:t>(פורסם במאגרים המשפטיים, 19.11.1992, סעיף 3 ד' לפסה"ד של כב' השופט ש' לוין; הדגשה לא במקור).</w:t>
      </w:r>
    </w:p>
    <w:p w:rsidR="009B38A4" w:rsidRPr="00093D69" w:rsidRDefault="009B38A4" w:rsidP="009B38A4">
      <w:pPr>
        <w:pStyle w:val="10"/>
        <w:spacing w:line="360" w:lineRule="auto"/>
        <w:jc w:val="both"/>
        <w:rPr>
          <w:rStyle w:val="default"/>
          <w:rFonts w:ascii="David" w:hAnsi="David" w:cs="David"/>
          <w:noProof w:val="0"/>
          <w:sz w:val="22"/>
          <w:szCs w:val="22"/>
          <w:rtl/>
        </w:rPr>
      </w:pPr>
    </w:p>
    <w:p w:rsidR="009B38A4" w:rsidRPr="00093D69" w:rsidRDefault="009B38A4" w:rsidP="009B38A4">
      <w:pPr>
        <w:pStyle w:val="10"/>
        <w:numPr>
          <w:ilvl w:val="0"/>
          <w:numId w:val="1"/>
        </w:numPr>
        <w:spacing w:line="360" w:lineRule="auto"/>
        <w:jc w:val="both"/>
        <w:rPr>
          <w:rFonts w:ascii="David" w:hAnsi="David"/>
          <w:rtl/>
        </w:rPr>
      </w:pPr>
      <w:r w:rsidRPr="00093D69">
        <w:rPr>
          <w:rFonts w:ascii="David" w:hAnsi="David"/>
          <w:rtl/>
        </w:rPr>
        <w:t xml:space="preserve">פסק הדין בעניין פוקסמן (לעיל) אוזכר אף בפסיקת בית המשפט העליון של ארצות הברית, זאת בזיקה לקביעתו שם כי הגדרת משמורת על קטין לצרכי אמנת האג צריכה להגזר מכללי המדינות החתומות על האמנה (ר' </w:t>
      </w:r>
      <w:r w:rsidRPr="00093D69">
        <w:rPr>
          <w:rFonts w:ascii="David" w:hAnsi="David"/>
        </w:rPr>
        <w:t>Abbott v. Abbott, 560 U.S. 1 (2010)</w:t>
      </w:r>
      <w:r w:rsidRPr="00093D69">
        <w:rPr>
          <w:rFonts w:ascii="David" w:hAnsi="David"/>
          <w:rtl/>
        </w:rPr>
        <w:t xml:space="preserve"> באופן שבו הובא ע"י כב' השופט א' שטיין בבע"מ 67/21 </w:t>
      </w:r>
      <w:r w:rsidRPr="00093D69">
        <w:rPr>
          <w:rFonts w:ascii="David" w:hAnsi="David"/>
          <w:b/>
          <w:bCs/>
          <w:rtl/>
        </w:rPr>
        <w:t xml:space="preserve">פלונית נ' פלוני </w:t>
      </w:r>
      <w:r w:rsidRPr="00093D69">
        <w:rPr>
          <w:rFonts w:ascii="David" w:hAnsi="David"/>
          <w:rtl/>
        </w:rPr>
        <w:t>(פורסם במאגרים המשפטיים, 7.1.2021, ס' 10 לפסה"ד).</w:t>
      </w:r>
    </w:p>
    <w:p w:rsidR="009B38A4" w:rsidRPr="00093D69" w:rsidRDefault="009B38A4" w:rsidP="009B38A4">
      <w:pPr>
        <w:pStyle w:val="10"/>
        <w:spacing w:line="360" w:lineRule="auto"/>
        <w:jc w:val="both"/>
        <w:rPr>
          <w:rFonts w:ascii="David" w:hAnsi="David"/>
        </w:rPr>
      </w:pPr>
    </w:p>
    <w:p w:rsidR="009B38A4" w:rsidRPr="00093D69" w:rsidRDefault="009B38A4" w:rsidP="009B38A4">
      <w:pPr>
        <w:pStyle w:val="10"/>
        <w:spacing w:line="360" w:lineRule="auto"/>
        <w:jc w:val="both"/>
        <w:rPr>
          <w:rFonts w:ascii="David" w:hAnsi="David"/>
        </w:rPr>
      </w:pPr>
      <w:r w:rsidRPr="00093D69">
        <w:rPr>
          <w:rFonts w:ascii="David" w:hAnsi="David"/>
          <w:rtl/>
        </w:rPr>
        <w:t xml:space="preserve">בהקשר זה הפנה בית המשפט לסעיף 11 לאמנה המורה על דחיפות בירור ההליך, כמו גם לסעיף 14 לאמנה, אשר מכוחו רשאית הערכאה המבררת עפ"י האמנה להתייחס במישרין לדין הזר; באופן זה התייחס לכך כב' הנשיא (כתוארו אז) א' ברק: </w:t>
      </w:r>
    </w:p>
    <w:p w:rsidR="009B38A4" w:rsidRPr="00093D69" w:rsidRDefault="009B38A4" w:rsidP="009B38A4">
      <w:pPr>
        <w:pStyle w:val="10"/>
        <w:spacing w:line="360" w:lineRule="auto"/>
        <w:jc w:val="both"/>
        <w:rPr>
          <w:rFonts w:ascii="David" w:hAnsi="David"/>
          <w:rtl/>
        </w:rPr>
      </w:pPr>
    </w:p>
    <w:p w:rsidR="009B38A4" w:rsidRPr="00093D69" w:rsidRDefault="009B38A4" w:rsidP="009B38A4">
      <w:pPr>
        <w:pStyle w:val="10"/>
        <w:spacing w:line="360" w:lineRule="auto"/>
        <w:jc w:val="both"/>
        <w:rPr>
          <w:rFonts w:ascii="David" w:hAnsi="David"/>
        </w:rPr>
      </w:pPr>
      <w:r w:rsidRPr="007D03B4">
        <w:rPr>
          <w:rFonts w:ascii="David" w:hAnsi="David"/>
          <w:b/>
          <w:bCs/>
          <w:rtl/>
        </w:rPr>
        <w:t>"במישור הדיוני</w:t>
      </w:r>
      <w:r w:rsidRPr="007D03B4">
        <w:rPr>
          <w:rFonts w:ascii="David" w:hAnsi="David"/>
          <w:b/>
          <w:bCs/>
          <w:sz w:val="26"/>
          <w:szCs w:val="26"/>
          <w:rtl/>
        </w:rPr>
        <w:t xml:space="preserve"> </w:t>
      </w:r>
      <w:r w:rsidRPr="00093D69">
        <w:rPr>
          <w:rFonts w:ascii="David" w:hAnsi="David"/>
          <w:b/>
          <w:bCs/>
          <w:rtl/>
        </w:rPr>
        <w:t>נקבע (</w:t>
      </w:r>
      <w:r w:rsidRPr="00093D69">
        <w:rPr>
          <w:rFonts w:ascii="David" w:hAnsi="David"/>
          <w:b/>
          <w:bCs/>
          <w:u w:val="single"/>
          <w:rtl/>
        </w:rPr>
        <w:t>בסעיף 11</w:t>
      </w:r>
      <w:r w:rsidRPr="00093D69">
        <w:rPr>
          <w:rFonts w:ascii="David" w:hAnsi="David"/>
          <w:b/>
          <w:bCs/>
          <w:rtl/>
        </w:rPr>
        <w:t xml:space="preserve"> לאמנת האג) כי "הרשויות השיפוטיות... של המדינות המתקשרות יפעלו בהליכיהן בדחיפות להחזרתם של הילדים". לעתים קרובות ייזקק בית</w:t>
      </w:r>
      <w:r w:rsidRPr="00093D69">
        <w:rPr>
          <w:rFonts w:ascii="David" w:hAnsi="David"/>
          <w:b/>
          <w:bCs/>
          <w:position w:val="4"/>
          <w:rtl/>
        </w:rPr>
        <w:t>-</w:t>
      </w:r>
      <w:r w:rsidRPr="00093D69">
        <w:rPr>
          <w:rFonts w:ascii="David" w:hAnsi="David"/>
          <w:b/>
          <w:bCs/>
          <w:rtl/>
        </w:rPr>
        <w:t>המשפט לדין זר. בעניין זה נקבע הסדר מיוחד, ולפיו בית</w:t>
      </w:r>
      <w:r w:rsidRPr="00093D69">
        <w:rPr>
          <w:rFonts w:ascii="David" w:hAnsi="David"/>
          <w:b/>
          <w:bCs/>
          <w:position w:val="4"/>
          <w:rtl/>
        </w:rPr>
        <w:t>-</w:t>
      </w:r>
      <w:r w:rsidRPr="00093D69">
        <w:rPr>
          <w:rFonts w:ascii="David" w:hAnsi="David"/>
          <w:b/>
          <w:bCs/>
          <w:rtl/>
        </w:rPr>
        <w:t>המשפט בישראל רשאי "להתייחס ישירות לדין המדינה שבה נמצא מקום מגוריו הרגיל של הילד, וכן להחלטות שיפוטיות... של אותה מדינה</w:t>
      </w:r>
      <w:r w:rsidRPr="00093D69">
        <w:rPr>
          <w:rFonts w:ascii="David" w:hAnsi="David"/>
          <w:b/>
          <w:bCs/>
          <w:u w:val="single"/>
          <w:rtl/>
        </w:rPr>
        <w:t xml:space="preserve">... זאת מבלי </w:t>
      </w:r>
      <w:r w:rsidRPr="00093D69">
        <w:rPr>
          <w:rFonts w:ascii="David" w:hAnsi="David"/>
          <w:b/>
          <w:bCs/>
          <w:u w:val="single"/>
          <w:rtl/>
        </w:rPr>
        <w:lastRenderedPageBreak/>
        <w:t>להזדקק להליכים מיוחדים להוכחת אותו דין או להכרה בהחלטות זרות...</w:t>
      </w:r>
      <w:r w:rsidRPr="00093D69">
        <w:rPr>
          <w:rFonts w:ascii="David" w:hAnsi="David"/>
          <w:b/>
          <w:bCs/>
          <w:rtl/>
        </w:rPr>
        <w:t>" (</w:t>
      </w:r>
      <w:r w:rsidRPr="00093D69">
        <w:rPr>
          <w:rFonts w:ascii="David" w:hAnsi="David"/>
          <w:b/>
          <w:bCs/>
          <w:u w:val="single"/>
          <w:rtl/>
        </w:rPr>
        <w:t>סעיף 14</w:t>
      </w:r>
      <w:r w:rsidRPr="00093D69">
        <w:rPr>
          <w:rFonts w:ascii="David" w:hAnsi="David"/>
          <w:b/>
          <w:bCs/>
          <w:rtl/>
        </w:rPr>
        <w:t xml:space="preserve"> לאמנת האג)" </w:t>
      </w:r>
      <w:r w:rsidRPr="00093D69">
        <w:rPr>
          <w:rFonts w:ascii="David" w:hAnsi="David"/>
          <w:rtl/>
        </w:rPr>
        <w:t xml:space="preserve">ע"א 7206/93 </w:t>
      </w:r>
      <w:r w:rsidRPr="00093D69">
        <w:rPr>
          <w:rFonts w:ascii="David" w:hAnsi="David"/>
          <w:b/>
          <w:bCs/>
          <w:rtl/>
        </w:rPr>
        <w:t>אפרת גבאי נ' רוני ארמנד גבאי</w:t>
      </w:r>
      <w:r w:rsidRPr="00093D69">
        <w:rPr>
          <w:rFonts w:ascii="David" w:hAnsi="David"/>
          <w:rtl/>
        </w:rPr>
        <w:t xml:space="preserve">, פ"ד נא(2) 241, 250 (1997); להלן </w:t>
      </w:r>
      <w:r w:rsidRPr="00093D69">
        <w:rPr>
          <w:rFonts w:ascii="David" w:hAnsi="David"/>
          <w:b/>
          <w:bCs/>
          <w:rtl/>
        </w:rPr>
        <w:t>"פרשת גבאי"</w:t>
      </w:r>
      <w:r w:rsidRPr="00093D69">
        <w:rPr>
          <w:rFonts w:ascii="David" w:hAnsi="David"/>
          <w:rtl/>
        </w:rPr>
        <w:t>).</w:t>
      </w:r>
    </w:p>
    <w:p w:rsidR="009B38A4" w:rsidRPr="00093D69" w:rsidRDefault="009B38A4" w:rsidP="009B38A4">
      <w:pPr>
        <w:pStyle w:val="10"/>
        <w:spacing w:line="360" w:lineRule="auto"/>
        <w:jc w:val="both"/>
        <w:rPr>
          <w:rFonts w:ascii="David" w:hAnsi="David"/>
          <w:b/>
          <w:bCs/>
        </w:rPr>
      </w:pPr>
    </w:p>
    <w:p w:rsidR="009B38A4" w:rsidRPr="00093D69" w:rsidRDefault="009B38A4" w:rsidP="009B38A4">
      <w:pPr>
        <w:pStyle w:val="10"/>
        <w:spacing w:line="360" w:lineRule="auto"/>
        <w:jc w:val="both"/>
        <w:rPr>
          <w:rFonts w:ascii="David" w:hAnsi="David"/>
          <w:rtl/>
        </w:rPr>
      </w:pPr>
      <w:r w:rsidRPr="00093D69">
        <w:rPr>
          <w:rFonts w:ascii="David" w:hAnsi="David"/>
          <w:rtl/>
        </w:rPr>
        <w:t xml:space="preserve">זאת כאשר בהמשכו של פסה"ד בעניין גבאי, לעיל, קיימת </w:t>
      </w:r>
      <w:r w:rsidRPr="00093D69">
        <w:rPr>
          <w:rFonts w:ascii="David" w:hAnsi="David"/>
          <w:u w:val="single"/>
          <w:rtl/>
        </w:rPr>
        <w:t>התייחסות ישירה לקביעת הדין האמריקני בסוגיית משמורת קטינים;</w:t>
      </w:r>
      <w:r w:rsidRPr="00093D69">
        <w:rPr>
          <w:rFonts w:ascii="David" w:hAnsi="David"/>
          <w:rtl/>
        </w:rPr>
        <w:t xml:space="preserve"> אותו הדין הנדרש בנסיבותינו לפיו:</w:t>
      </w:r>
      <w:r w:rsidRPr="00093D69">
        <w:rPr>
          <w:rFonts w:ascii="David" w:hAnsi="David"/>
          <w:b/>
          <w:bCs/>
          <w:rtl/>
        </w:rPr>
        <w:t>"</w:t>
      </w:r>
      <w:r w:rsidRPr="00093D69">
        <w:rPr>
          <w:rFonts w:ascii="David" w:hAnsi="David"/>
          <w:b/>
          <w:bCs/>
          <w:u w:val="single"/>
          <w:rtl/>
        </w:rPr>
        <w:t>זכויות המשמורת על</w:t>
      </w:r>
      <w:r w:rsidRPr="00093D69">
        <w:rPr>
          <w:rFonts w:ascii="David" w:hAnsi="David"/>
          <w:b/>
          <w:bCs/>
          <w:position w:val="4"/>
          <w:u w:val="single"/>
          <w:rtl/>
        </w:rPr>
        <w:t>-</w:t>
      </w:r>
      <w:r w:rsidRPr="00093D69">
        <w:rPr>
          <w:rFonts w:ascii="David" w:hAnsi="David"/>
          <w:b/>
          <w:bCs/>
          <w:u w:val="single"/>
          <w:rtl/>
        </w:rPr>
        <w:t>פי הדין האמריקני הן של ההורים</w:t>
      </w:r>
      <w:r w:rsidRPr="00093D69">
        <w:rPr>
          <w:rFonts w:ascii="David" w:hAnsi="David"/>
          <w:b/>
          <w:bCs/>
          <w:rtl/>
        </w:rPr>
        <w:t>. אי</w:t>
      </w:r>
      <w:r w:rsidRPr="00093D69">
        <w:rPr>
          <w:rFonts w:ascii="David" w:hAnsi="David"/>
          <w:b/>
          <w:bCs/>
          <w:position w:val="4"/>
          <w:rtl/>
        </w:rPr>
        <w:t>-</w:t>
      </w:r>
      <w:r w:rsidRPr="00093D69">
        <w:rPr>
          <w:rFonts w:ascii="David" w:hAnsi="David"/>
          <w:b/>
          <w:bCs/>
          <w:rtl/>
        </w:rPr>
        <w:t>החזרת הקטין על</w:t>
      </w:r>
      <w:r w:rsidRPr="00093D69">
        <w:rPr>
          <w:rFonts w:ascii="David" w:hAnsi="David"/>
          <w:b/>
          <w:bCs/>
          <w:position w:val="4"/>
          <w:rtl/>
        </w:rPr>
        <w:t>-</w:t>
      </w:r>
      <w:r w:rsidRPr="00093D69">
        <w:rPr>
          <w:rFonts w:ascii="David" w:hAnsi="David"/>
          <w:b/>
          <w:bCs/>
          <w:rtl/>
        </w:rPr>
        <w:t>ידי אביו, שעה שהאם ביקשה לחזור עמו לארצות</w:t>
      </w:r>
      <w:r w:rsidRPr="00093D69">
        <w:rPr>
          <w:rFonts w:ascii="David" w:hAnsi="David"/>
          <w:b/>
          <w:bCs/>
          <w:position w:val="4"/>
          <w:rtl/>
        </w:rPr>
        <w:t>-</w:t>
      </w:r>
      <w:r w:rsidRPr="00093D69">
        <w:rPr>
          <w:rFonts w:ascii="David" w:hAnsi="David"/>
          <w:b/>
          <w:bCs/>
          <w:rtl/>
        </w:rPr>
        <w:t>הברית, מהווה הפרה של זכות המשמורת של האם. על</w:t>
      </w:r>
      <w:r w:rsidRPr="00093D69">
        <w:rPr>
          <w:rFonts w:ascii="David" w:hAnsi="David"/>
          <w:b/>
          <w:bCs/>
          <w:position w:val="4"/>
          <w:rtl/>
        </w:rPr>
        <w:t>-</w:t>
      </w:r>
      <w:r w:rsidRPr="00093D69">
        <w:rPr>
          <w:rFonts w:ascii="David" w:hAnsi="David"/>
          <w:b/>
          <w:bCs/>
          <w:rtl/>
        </w:rPr>
        <w:t>פי אמנת האג חייב בית</w:t>
      </w:r>
      <w:r w:rsidRPr="00093D69">
        <w:rPr>
          <w:rFonts w:ascii="David" w:hAnsi="David"/>
          <w:b/>
          <w:bCs/>
          <w:position w:val="4"/>
          <w:rtl/>
        </w:rPr>
        <w:t>-</w:t>
      </w:r>
      <w:r w:rsidRPr="00093D69">
        <w:rPr>
          <w:rFonts w:ascii="David" w:hAnsi="David"/>
          <w:b/>
          <w:bCs/>
          <w:rtl/>
        </w:rPr>
        <w:t xml:space="preserve">המשפט לצוות על החזרת הקטין לאלתר, אלא אם כן האב יוכל להכניס עצמו לאחד החריגים (או הסייגים או ההגנות) הקבועים באמנת האג" </w:t>
      </w:r>
      <w:r w:rsidRPr="00093D69">
        <w:rPr>
          <w:rFonts w:ascii="David" w:hAnsi="David"/>
          <w:rtl/>
        </w:rPr>
        <w:t>(פרשת גבאי, לעיל, בעמ' 255, הדגשה לא במקור).</w:t>
      </w:r>
    </w:p>
    <w:p w:rsidR="009B38A4" w:rsidRPr="00093D69" w:rsidRDefault="009B38A4" w:rsidP="009B38A4">
      <w:pPr>
        <w:pStyle w:val="10"/>
        <w:spacing w:line="360" w:lineRule="auto"/>
        <w:ind w:left="360"/>
        <w:jc w:val="both"/>
        <w:rPr>
          <w:rFonts w:ascii="David" w:hAnsi="David"/>
          <w:b/>
          <w:bCs/>
          <w:u w:val="single"/>
          <w:rtl/>
        </w:rPr>
      </w:pPr>
    </w:p>
    <w:p w:rsidR="009B38A4" w:rsidRDefault="009B38A4" w:rsidP="009B38A4">
      <w:pPr>
        <w:pStyle w:val="10"/>
        <w:spacing w:line="360" w:lineRule="auto"/>
        <w:ind w:left="360"/>
        <w:jc w:val="both"/>
        <w:rPr>
          <w:rFonts w:ascii="David" w:hAnsi="David"/>
          <w:b/>
          <w:bCs/>
          <w:u w:val="single"/>
          <w:rtl/>
        </w:rPr>
      </w:pPr>
      <w:r w:rsidRPr="00093D69">
        <w:rPr>
          <w:rFonts w:ascii="David" w:hAnsi="David"/>
          <w:b/>
          <w:bCs/>
          <w:u w:val="single"/>
          <w:rtl/>
        </w:rPr>
        <w:t>חריגי האמנה לחובת השבת הילד</w:t>
      </w:r>
    </w:p>
    <w:p w:rsidR="00093D69" w:rsidRPr="007D03B4" w:rsidRDefault="00093D69" w:rsidP="009B38A4">
      <w:pPr>
        <w:pStyle w:val="10"/>
        <w:spacing w:line="360" w:lineRule="auto"/>
        <w:ind w:left="360"/>
        <w:jc w:val="both"/>
        <w:rPr>
          <w:rFonts w:ascii="David" w:hAnsi="David"/>
          <w:b/>
          <w:bCs/>
          <w:sz w:val="8"/>
          <w:szCs w:val="8"/>
          <w:u w:val="single"/>
          <w:rtl/>
        </w:rPr>
      </w:pPr>
    </w:p>
    <w:p w:rsidR="009B38A4" w:rsidRPr="00093D69" w:rsidRDefault="009B38A4" w:rsidP="009B38A4">
      <w:pPr>
        <w:pStyle w:val="10"/>
        <w:numPr>
          <w:ilvl w:val="0"/>
          <w:numId w:val="1"/>
        </w:numPr>
        <w:spacing w:line="360" w:lineRule="auto"/>
        <w:jc w:val="both"/>
        <w:rPr>
          <w:rFonts w:ascii="David" w:hAnsi="David"/>
          <w:u w:val="single"/>
        </w:rPr>
      </w:pPr>
      <w:r w:rsidRPr="00093D69">
        <w:rPr>
          <w:rFonts w:ascii="David" w:hAnsi="David"/>
          <w:rtl/>
        </w:rPr>
        <w:t>לצד האמור לעיל, קובעת האמנה, בהוראת סעיף 13, תנאים שככל ויוכחו על ידי המתנגד להחזרת הקטין, לא תהא הרשות השיפוטית או המנהלית של המדינה מחוייבת להורות כן, כלשון הסעיף:</w:t>
      </w:r>
    </w:p>
    <w:p w:rsidR="009B38A4" w:rsidRPr="00093D69" w:rsidRDefault="009B38A4" w:rsidP="009B38A4">
      <w:pPr>
        <w:pStyle w:val="10"/>
        <w:jc w:val="both"/>
        <w:rPr>
          <w:rStyle w:val="default"/>
          <w:rFonts w:ascii="David" w:hAnsi="David" w:cs="David"/>
          <w:b/>
          <w:bCs/>
          <w:sz w:val="22"/>
          <w:szCs w:val="22"/>
        </w:rPr>
      </w:pPr>
      <w:r w:rsidRPr="00093D69">
        <w:rPr>
          <w:rStyle w:val="default"/>
          <w:rFonts w:ascii="David" w:hAnsi="David" w:cs="David"/>
          <w:b/>
          <w:bCs/>
          <w:sz w:val="22"/>
          <w:szCs w:val="22"/>
          <w:rtl/>
        </w:rPr>
        <w:t xml:space="preserve">"על אף האמור בסעיף הקודם, </w:t>
      </w:r>
      <w:r w:rsidRPr="00093D69">
        <w:rPr>
          <w:rStyle w:val="default"/>
          <w:rFonts w:ascii="David" w:hAnsi="David" w:cs="David"/>
          <w:b/>
          <w:bCs/>
          <w:sz w:val="22"/>
          <w:szCs w:val="22"/>
          <w:u w:val="single"/>
          <w:rtl/>
        </w:rPr>
        <w:t>אין</w:t>
      </w:r>
      <w:r w:rsidRPr="00093D69">
        <w:rPr>
          <w:rStyle w:val="default"/>
          <w:rFonts w:ascii="David" w:hAnsi="David" w:cs="David"/>
          <w:b/>
          <w:bCs/>
          <w:sz w:val="22"/>
          <w:szCs w:val="22"/>
          <w:rtl/>
        </w:rPr>
        <w:t xml:space="preserve"> הרשות השיפוטית או המינהלית של המדינה המתבקשת </w:t>
      </w:r>
      <w:r w:rsidRPr="00093D69">
        <w:rPr>
          <w:rStyle w:val="default"/>
          <w:rFonts w:ascii="David" w:hAnsi="David" w:cs="David"/>
          <w:b/>
          <w:bCs/>
          <w:sz w:val="22"/>
          <w:szCs w:val="22"/>
          <w:u w:val="single"/>
          <w:rtl/>
        </w:rPr>
        <w:t>חייבת</w:t>
      </w:r>
      <w:r w:rsidRPr="00093D69">
        <w:rPr>
          <w:rStyle w:val="default"/>
          <w:rFonts w:ascii="David" w:hAnsi="David" w:cs="David"/>
          <w:b/>
          <w:bCs/>
          <w:sz w:val="22"/>
          <w:szCs w:val="22"/>
          <w:rtl/>
        </w:rPr>
        <w:t xml:space="preserve"> להורות על החזרת הילד, </w:t>
      </w:r>
      <w:r w:rsidRPr="00093D69">
        <w:rPr>
          <w:rStyle w:val="default"/>
          <w:rFonts w:ascii="David" w:hAnsi="David" w:cs="David"/>
          <w:b/>
          <w:bCs/>
          <w:sz w:val="22"/>
          <w:szCs w:val="22"/>
          <w:u w:val="single"/>
          <w:rtl/>
        </w:rPr>
        <w:t>אם הוכיחו</w:t>
      </w:r>
      <w:r w:rsidRPr="00093D69">
        <w:rPr>
          <w:rStyle w:val="default"/>
          <w:rFonts w:ascii="David" w:hAnsi="David" w:cs="David"/>
          <w:b/>
          <w:bCs/>
          <w:sz w:val="22"/>
          <w:szCs w:val="22"/>
          <w:rtl/>
        </w:rPr>
        <w:t xml:space="preserve"> האדם, המוסד או גוף אחר המתנגדים להחזרתו כי –</w:t>
      </w:r>
    </w:p>
    <w:p w:rsidR="009B38A4" w:rsidRPr="00093D69" w:rsidRDefault="009B38A4" w:rsidP="009B38A4">
      <w:pPr>
        <w:pStyle w:val="P01"/>
        <w:spacing w:before="72"/>
        <w:ind w:left="720" w:right="1134" w:hanging="720"/>
        <w:rPr>
          <w:rStyle w:val="default"/>
          <w:rFonts w:ascii="David" w:hAnsi="David" w:cs="David"/>
          <w:b/>
          <w:bCs/>
          <w:sz w:val="22"/>
          <w:szCs w:val="22"/>
          <w:rtl/>
        </w:rPr>
      </w:pPr>
      <w:r w:rsidRPr="00093D69">
        <w:rPr>
          <w:rFonts w:ascii="David" w:hAnsi="David" w:cs="David"/>
          <w:sz w:val="24"/>
          <w:szCs w:val="24"/>
          <w:rtl/>
        </w:rPr>
        <w:tab/>
      </w:r>
      <w:r w:rsidRPr="00093D69">
        <w:rPr>
          <w:rFonts w:ascii="David" w:hAnsi="David" w:cs="David"/>
          <w:b/>
          <w:bCs/>
          <w:sz w:val="22"/>
          <w:szCs w:val="22"/>
          <w:rtl/>
        </w:rPr>
        <w:tab/>
        <w:t>(א)</w:t>
      </w:r>
      <w:r w:rsidRPr="00093D69">
        <w:rPr>
          <w:rFonts w:ascii="David" w:hAnsi="David" w:cs="David"/>
          <w:b/>
          <w:bCs/>
          <w:sz w:val="22"/>
          <w:szCs w:val="22"/>
          <w:rtl/>
        </w:rPr>
        <w:tab/>
      </w:r>
      <w:r w:rsidRPr="00093D69">
        <w:rPr>
          <w:rStyle w:val="default"/>
          <w:rFonts w:ascii="David" w:hAnsi="David" w:cs="David"/>
          <w:b/>
          <w:bCs/>
          <w:sz w:val="22"/>
          <w:szCs w:val="22"/>
          <w:rtl/>
        </w:rPr>
        <w:t xml:space="preserve">האדם, המוסד או הגוף האחר שבידיו מופקדת ההשגחה על גוף הילד </w:t>
      </w:r>
      <w:r w:rsidRPr="00093D69">
        <w:rPr>
          <w:rStyle w:val="default"/>
          <w:rFonts w:ascii="David" w:hAnsi="David" w:cs="David"/>
          <w:b/>
          <w:bCs/>
          <w:sz w:val="22"/>
          <w:szCs w:val="22"/>
          <w:rtl/>
        </w:rPr>
        <w:br/>
      </w:r>
      <w:r w:rsidRPr="00093D69">
        <w:rPr>
          <w:rStyle w:val="default"/>
          <w:rFonts w:ascii="David" w:hAnsi="David" w:cs="David"/>
          <w:b/>
          <w:bCs/>
          <w:sz w:val="22"/>
          <w:szCs w:val="22"/>
          <w:u w:val="single"/>
          <w:rtl/>
        </w:rPr>
        <w:t>לא הפעיל בפועל את זכויות המשמורת בעת ההרחקה</w:t>
      </w:r>
      <w:r w:rsidRPr="00093D69">
        <w:rPr>
          <w:rStyle w:val="default"/>
          <w:rFonts w:ascii="David" w:hAnsi="David" w:cs="David"/>
          <w:b/>
          <w:bCs/>
          <w:sz w:val="22"/>
          <w:szCs w:val="22"/>
          <w:rtl/>
        </w:rPr>
        <w:t xml:space="preserve"> או אי ההחזרה, או </w:t>
      </w:r>
      <w:r w:rsidRPr="00093D69">
        <w:rPr>
          <w:rStyle w:val="default"/>
          <w:rFonts w:ascii="David" w:hAnsi="David" w:cs="David"/>
          <w:b/>
          <w:bCs/>
          <w:sz w:val="22"/>
          <w:szCs w:val="22"/>
          <w:u w:val="single"/>
          <w:rtl/>
        </w:rPr>
        <w:t>הסכים עמן</w:t>
      </w:r>
      <w:r w:rsidRPr="00093D69">
        <w:rPr>
          <w:rStyle w:val="default"/>
          <w:rFonts w:ascii="David" w:hAnsi="David" w:cs="David"/>
          <w:b/>
          <w:bCs/>
          <w:sz w:val="22"/>
          <w:szCs w:val="22"/>
          <w:rtl/>
        </w:rPr>
        <w:t xml:space="preserve"> או </w:t>
      </w:r>
      <w:r w:rsidRPr="00093D69">
        <w:rPr>
          <w:rStyle w:val="default"/>
          <w:rFonts w:ascii="David" w:hAnsi="David" w:cs="David"/>
          <w:b/>
          <w:bCs/>
          <w:sz w:val="22"/>
          <w:szCs w:val="22"/>
          <w:u w:val="single"/>
          <w:rtl/>
        </w:rPr>
        <w:t>השלים עמן לאחר מעשה</w:t>
      </w:r>
      <w:r w:rsidRPr="00093D69">
        <w:rPr>
          <w:rStyle w:val="default"/>
          <w:rFonts w:ascii="David" w:hAnsi="David" w:cs="David"/>
          <w:b/>
          <w:bCs/>
          <w:sz w:val="22"/>
          <w:szCs w:val="22"/>
          <w:rtl/>
        </w:rPr>
        <w:t>, או</w:t>
      </w:r>
    </w:p>
    <w:p w:rsidR="009B38A4" w:rsidRPr="00093D69" w:rsidRDefault="009B38A4" w:rsidP="009B38A4">
      <w:pPr>
        <w:pStyle w:val="P01"/>
        <w:spacing w:before="72"/>
        <w:ind w:left="720" w:right="1134" w:hanging="720"/>
        <w:rPr>
          <w:rStyle w:val="default"/>
          <w:rFonts w:ascii="David" w:hAnsi="David" w:cs="David"/>
          <w:b/>
          <w:bCs/>
          <w:sz w:val="22"/>
          <w:szCs w:val="22"/>
          <w:rtl/>
        </w:rPr>
      </w:pPr>
      <w:r w:rsidRPr="00093D69">
        <w:rPr>
          <w:rFonts w:ascii="David" w:hAnsi="David" w:cs="David"/>
          <w:b/>
          <w:bCs/>
          <w:sz w:val="22"/>
          <w:szCs w:val="22"/>
          <w:rtl/>
        </w:rPr>
        <w:tab/>
        <w:t xml:space="preserve">  (ב)</w:t>
      </w:r>
      <w:r w:rsidRPr="00093D69">
        <w:rPr>
          <w:rFonts w:ascii="David" w:hAnsi="David" w:cs="David"/>
          <w:b/>
          <w:bCs/>
          <w:sz w:val="22"/>
          <w:szCs w:val="22"/>
          <w:rtl/>
        </w:rPr>
        <w:tab/>
      </w:r>
      <w:r w:rsidRPr="00093D69">
        <w:rPr>
          <w:rStyle w:val="default"/>
          <w:rFonts w:ascii="David" w:hAnsi="David" w:cs="David"/>
          <w:b/>
          <w:bCs/>
          <w:sz w:val="22"/>
          <w:szCs w:val="22"/>
          <w:rtl/>
        </w:rPr>
        <w:t xml:space="preserve">קיים חשש חמור שהחזרתו של הילד תחשוף אותו לנזק פיזי או פסיכולוגי או תעמיד את הילד בדרך אחרת במצב בלתי נסבל. </w:t>
      </w:r>
    </w:p>
    <w:p w:rsidR="009B38A4" w:rsidRPr="00093D69" w:rsidRDefault="009B38A4" w:rsidP="009B38A4">
      <w:pPr>
        <w:pStyle w:val="P01"/>
        <w:spacing w:before="72"/>
        <w:ind w:left="720" w:right="1134" w:hanging="720"/>
        <w:rPr>
          <w:rStyle w:val="default"/>
          <w:rFonts w:ascii="David" w:hAnsi="David" w:cs="David"/>
          <w:b/>
          <w:bCs/>
          <w:sz w:val="22"/>
          <w:szCs w:val="22"/>
          <w:rtl/>
        </w:rPr>
      </w:pPr>
      <w:r w:rsidRPr="00093D69">
        <w:rPr>
          <w:rStyle w:val="default"/>
          <w:rFonts w:ascii="David" w:hAnsi="David" w:cs="David"/>
          <w:b/>
          <w:bCs/>
          <w:sz w:val="22"/>
          <w:szCs w:val="22"/>
          <w:rtl/>
        </w:rPr>
        <w:lastRenderedPageBreak/>
        <w:tab/>
      </w:r>
      <w:r w:rsidRPr="00093D69">
        <w:rPr>
          <w:rStyle w:val="default"/>
          <w:rFonts w:ascii="David" w:hAnsi="David" w:cs="David"/>
          <w:b/>
          <w:bCs/>
          <w:sz w:val="22"/>
          <w:szCs w:val="22"/>
          <w:rtl/>
        </w:rPr>
        <w:tab/>
        <w:t xml:space="preserve">הרשות השיפוטית או המינהלית רשאית כמו כן לסרב לצוות על החזרת הילד אם התברר לה כי הילד מתנגד להחזרתו וכי הוא הגיע לגיל ולרמת בגרות שבהם מן הראוי להביא בחשבון את השקפותיו. </w:t>
      </w:r>
    </w:p>
    <w:p w:rsidR="009B38A4" w:rsidRPr="00093D69" w:rsidRDefault="009B38A4" w:rsidP="009B38A4">
      <w:pPr>
        <w:pStyle w:val="P01"/>
        <w:spacing w:before="72"/>
        <w:ind w:left="720" w:right="1134" w:hanging="720"/>
        <w:rPr>
          <w:rStyle w:val="default"/>
          <w:rFonts w:ascii="David" w:hAnsi="David" w:cs="David"/>
          <w:b/>
          <w:bCs/>
          <w:sz w:val="22"/>
          <w:szCs w:val="22"/>
          <w:rtl/>
        </w:rPr>
      </w:pPr>
      <w:r w:rsidRPr="00093D69">
        <w:rPr>
          <w:rStyle w:val="default"/>
          <w:rFonts w:ascii="David" w:hAnsi="David" w:cs="David"/>
          <w:b/>
          <w:bCs/>
          <w:sz w:val="22"/>
          <w:szCs w:val="22"/>
          <w:rtl/>
        </w:rPr>
        <w:tab/>
      </w:r>
      <w:r w:rsidRPr="00093D69">
        <w:rPr>
          <w:rStyle w:val="default"/>
          <w:rFonts w:ascii="David" w:hAnsi="David" w:cs="David"/>
          <w:b/>
          <w:bCs/>
          <w:sz w:val="22"/>
          <w:szCs w:val="22"/>
          <w:rtl/>
        </w:rPr>
        <w:tab/>
        <w:t>בבואן לשקול את הנסיבות הנזכרות בסעיף זה, יביאו הרשויות השיפוטיות והמינהליות בחשבון את המידע בדבר רקעו החברתי של הילד, כפי שהומצא על ידי הרשות המרכזית או רשות מוסמכת אחרת שבמקום מגוריו הרגיל של הילד."</w:t>
      </w:r>
    </w:p>
    <w:p w:rsidR="009B38A4" w:rsidRPr="00093D69" w:rsidRDefault="009B38A4" w:rsidP="009B38A4">
      <w:pPr>
        <w:pStyle w:val="10"/>
        <w:spacing w:line="360" w:lineRule="auto"/>
        <w:ind w:left="360"/>
        <w:jc w:val="both"/>
        <w:rPr>
          <w:rFonts w:ascii="David" w:hAnsi="David"/>
          <w:u w:val="single"/>
          <w:rtl/>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בהוראת סעיף 13 מגולמים למעשה </w:t>
      </w:r>
      <w:r w:rsidRPr="00093D69">
        <w:rPr>
          <w:rFonts w:ascii="David" w:hAnsi="David"/>
          <w:u w:val="single"/>
          <w:rtl/>
        </w:rPr>
        <w:t>מספר חריגים</w:t>
      </w:r>
      <w:r w:rsidRPr="00093D69">
        <w:rPr>
          <w:rFonts w:ascii="David" w:hAnsi="David"/>
          <w:rtl/>
        </w:rPr>
        <w:t>; ולאור טענותיה של הנתבעת במקרה דכאן אתמקד בשלושה פרמטרים מהם - הצורך בהפעלת זכות המשמורת בעת ההרחקה או אי ההחזרה – סעיף 13(א) רישא; הסכמה והשלמה – סעיף 13(א) סיפא; וכן קיומו של "חשש חמור" שהחזרת הקטין תחשוף אותו ל"נזק פיזי או פסיכולוגי" או תעמיד את הקטין "בדרך אחרת במצב בלתי נסבל".</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זאת כאשר, להשלמת התמונה הנורמטיבית לעניין חריגי האמנה, יש לציין אף את הוראת סעיף 12 לאמנה, הקובע כי ככל וחלפה שנה ממועד ההרחקה והוכחה השתלבות הקטין בסביבתו החדשה אין חובה על החזרתו; לצד הוראת סעיף 20 לפיה ניתן לסרב להחזיר קטין היה וההחזרה אינה מותרת בהתאם לעקרונות היסוד של המדינה המתבקשת בנוגע להגנה על זכויות אדם וחירויות יסוד (ר' בעניין זה רע"א 7994/98 </w:t>
      </w:r>
      <w:r w:rsidRPr="00093D69">
        <w:rPr>
          <w:rFonts w:ascii="David" w:hAnsi="David"/>
          <w:b/>
          <w:bCs/>
          <w:rtl/>
        </w:rPr>
        <w:t xml:space="preserve">טירן דגן נ' שירלי דגן, </w:t>
      </w:r>
      <w:r w:rsidRPr="00093D69">
        <w:rPr>
          <w:rFonts w:ascii="David" w:hAnsi="David"/>
          <w:rtl/>
        </w:rPr>
        <w:t xml:space="preserve">פ"ד נג(3) 254, 268, סעיף 9 לפסה"ד של כב' הנשיאה (כתוארה אז) ד' בייניש; להלן </w:t>
      </w:r>
      <w:r w:rsidRPr="00093D69">
        <w:rPr>
          <w:rFonts w:ascii="David" w:hAnsi="David"/>
          <w:b/>
          <w:bCs/>
          <w:rtl/>
        </w:rPr>
        <w:t>"פרשת דגן"</w:t>
      </w:r>
      <w:r w:rsidRPr="00093D69">
        <w:rPr>
          <w:rFonts w:ascii="David" w:hAnsi="David"/>
          <w:rtl/>
        </w:rPr>
        <w:t>).</w:t>
      </w:r>
    </w:p>
    <w:p w:rsidR="009B38A4" w:rsidRPr="00093D69" w:rsidRDefault="009B38A4" w:rsidP="009B38A4">
      <w:pPr>
        <w:pStyle w:val="2"/>
        <w:spacing w:line="360" w:lineRule="auto"/>
        <w:ind w:left="360"/>
        <w:jc w:val="both"/>
        <w:rPr>
          <w:rFonts w:ascii="David" w:hAnsi="David"/>
        </w:rPr>
      </w:pPr>
    </w:p>
    <w:p w:rsidR="009B38A4" w:rsidRDefault="009B38A4" w:rsidP="009B38A4">
      <w:pPr>
        <w:pStyle w:val="2"/>
        <w:spacing w:line="360" w:lineRule="auto"/>
        <w:ind w:left="360"/>
        <w:jc w:val="both"/>
        <w:rPr>
          <w:rFonts w:ascii="David" w:hAnsi="David"/>
          <w:b/>
          <w:bCs/>
          <w:u w:val="single"/>
          <w:rtl/>
        </w:rPr>
      </w:pPr>
      <w:r w:rsidRPr="00093D69">
        <w:rPr>
          <w:rFonts w:ascii="David" w:hAnsi="David"/>
          <w:b/>
          <w:bCs/>
          <w:u w:val="single"/>
          <w:rtl/>
        </w:rPr>
        <w:t>אי הפעלת זכות המשמורת בעת ההרחקה או אי ההחזרה</w:t>
      </w:r>
    </w:p>
    <w:p w:rsidR="00093D69" w:rsidRPr="00093D69" w:rsidRDefault="00093D69" w:rsidP="009B38A4">
      <w:pPr>
        <w:pStyle w:val="2"/>
        <w:spacing w:line="360" w:lineRule="auto"/>
        <w:ind w:left="360"/>
        <w:jc w:val="both"/>
        <w:rPr>
          <w:rFonts w:ascii="David" w:hAnsi="David"/>
          <w:b/>
          <w:bCs/>
          <w:sz w:val="12"/>
          <w:szCs w:val="12"/>
          <w:u w:val="single"/>
          <w:rtl/>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lastRenderedPageBreak/>
        <w:t xml:space="preserve">חריג זה מתכתב עם הוראת סעיף 3 לאמנה, כמפורט לעיל; הווה אומר, כי </w:t>
      </w:r>
      <w:r w:rsidRPr="00093D69">
        <w:rPr>
          <w:rFonts w:ascii="David" w:hAnsi="David"/>
          <w:u w:val="single"/>
          <w:rtl/>
        </w:rPr>
        <w:t>פעולת ההרחקה תסווג כפעולה שלא כדין בשעה שמגולמת בה הפרה של זכויות משמורת אשר הופעלו הלכה למעשה</w:t>
      </w:r>
      <w:r w:rsidRPr="00093D69">
        <w:rPr>
          <w:rFonts w:ascii="David" w:hAnsi="David"/>
          <w:rtl/>
        </w:rPr>
        <w:t xml:space="preserve">. </w:t>
      </w:r>
    </w:p>
    <w:p w:rsidR="009B38A4" w:rsidRPr="00093D69" w:rsidRDefault="009B38A4" w:rsidP="009B38A4">
      <w:pPr>
        <w:rPr>
          <w:rFonts w:ascii="David" w:hAnsi="David"/>
        </w:rPr>
      </w:pPr>
    </w:p>
    <w:p w:rsidR="009B38A4" w:rsidRDefault="009B38A4" w:rsidP="009B38A4">
      <w:pPr>
        <w:ind w:left="360"/>
        <w:rPr>
          <w:rFonts w:ascii="David" w:hAnsi="David"/>
          <w:b/>
          <w:bCs/>
          <w:u w:val="single"/>
          <w:rtl/>
        </w:rPr>
      </w:pPr>
      <w:r w:rsidRPr="00093D69">
        <w:rPr>
          <w:rFonts w:ascii="David" w:hAnsi="David"/>
          <w:b/>
          <w:bCs/>
          <w:u w:val="single"/>
          <w:rtl/>
        </w:rPr>
        <w:t>חריגי ההסכמה והשלמה</w:t>
      </w:r>
    </w:p>
    <w:p w:rsidR="00093D69" w:rsidRPr="00093D69" w:rsidRDefault="00093D69" w:rsidP="009B38A4">
      <w:pPr>
        <w:ind w:left="360"/>
        <w:rPr>
          <w:rFonts w:ascii="David" w:hAnsi="David"/>
          <w:b/>
          <w:bCs/>
          <w:u w:val="single"/>
          <w:rtl/>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כאן קיימת הבחנה בין "הסכמה" ל"השלמה" בראי מישור הזמן; בעוד שההסכמה צריכה להנתן מבעוד מועד, ההשלמה נעשית בדיעבד; זאת כאשר מושאן של ההסכמה וההשלמה אחד הוא – זכויות המשמורת; במילים אחרות – הסכמה או השלמה של ההורה עם המצב העובדתי שנוצר דה פקטו ביחס לזכויות המשמורת על הקטין (ר' </w:t>
      </w:r>
      <w:r w:rsidRPr="00093D69">
        <w:rPr>
          <w:rFonts w:ascii="David" w:hAnsi="David"/>
          <w:b/>
          <w:bCs/>
          <w:rtl/>
        </w:rPr>
        <w:t>"פרשת גבאי"</w:t>
      </w:r>
      <w:r w:rsidRPr="00093D69">
        <w:rPr>
          <w:rFonts w:ascii="David" w:hAnsi="David"/>
          <w:rtl/>
        </w:rPr>
        <w:t>, לעיל, סעיף 20 לפסה"ד של כב' הנשיא (כתוארו אז) א' ברק).</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במסגרת דיון בחריגים אלה ולאחר מיקום הנסיבות על פני ציר הזמן – קרי האם בהסכמה או בהשלמה עסקינן, </w:t>
      </w:r>
      <w:r w:rsidRPr="00093D69">
        <w:rPr>
          <w:rFonts w:ascii="David" w:hAnsi="David"/>
          <w:u w:val="single"/>
          <w:rtl/>
        </w:rPr>
        <w:t xml:space="preserve">שומה על בית המשפט לבחון האם ההורה שזכויותיו נפגעו פעל </w:t>
      </w:r>
      <w:r w:rsidRPr="00093D69">
        <w:rPr>
          <w:rFonts w:ascii="David" w:hAnsi="David"/>
          <w:u w:val="single"/>
          <w:rtl/>
        </w:rPr>
        <w:br/>
        <w:t xml:space="preserve">כשם שהיה פועל הורה שמטרתו היא השבת המצב לקדמותו </w:t>
      </w:r>
      <w:r w:rsidRPr="00093D69">
        <w:rPr>
          <w:rFonts w:ascii="David" w:hAnsi="David"/>
          <w:b/>
          <w:bCs/>
          <w:u w:val="single"/>
          <w:rtl/>
        </w:rPr>
        <w:t xml:space="preserve">לאלתר </w:t>
      </w:r>
      <w:r w:rsidRPr="00093D69">
        <w:rPr>
          <w:rFonts w:ascii="David" w:hAnsi="David"/>
          <w:u w:val="single"/>
          <w:rtl/>
        </w:rPr>
        <w:t>או שמא פעל באופן המעיד על השלמתו עם המצב?</w:t>
      </w:r>
      <w:r w:rsidRPr="00093D69">
        <w:rPr>
          <w:rFonts w:ascii="David" w:hAnsi="David"/>
          <w:rtl/>
        </w:rPr>
        <w:t xml:space="preserve"> תוך שבכל מגולם ויתור על סעד </w:t>
      </w:r>
      <w:r w:rsidRPr="00093D69">
        <w:rPr>
          <w:rFonts w:ascii="David" w:hAnsi="David"/>
          <w:b/>
          <w:bCs/>
          <w:rtl/>
        </w:rPr>
        <w:t>"העזרה הראשונה"</w:t>
      </w:r>
      <w:r w:rsidRPr="00093D69">
        <w:rPr>
          <w:rFonts w:ascii="David" w:hAnsi="David"/>
          <w:rtl/>
        </w:rPr>
        <w:t xml:space="preserve"> שמעניקה האמנה.</w:t>
      </w:r>
    </w:p>
    <w:p w:rsidR="009B38A4" w:rsidRPr="00093D69" w:rsidRDefault="009B38A4" w:rsidP="009B38A4">
      <w:pPr>
        <w:pStyle w:val="2"/>
        <w:spacing w:line="360" w:lineRule="auto"/>
        <w:jc w:val="both"/>
        <w:rPr>
          <w:rFonts w:ascii="David" w:hAnsi="David"/>
          <w:sz w:val="8"/>
          <w:szCs w:val="8"/>
        </w:rPr>
      </w:pPr>
    </w:p>
    <w:p w:rsidR="009B38A4" w:rsidRDefault="009B38A4" w:rsidP="009B38A4">
      <w:pPr>
        <w:pStyle w:val="2"/>
        <w:spacing w:line="360" w:lineRule="auto"/>
        <w:jc w:val="both"/>
        <w:rPr>
          <w:rFonts w:ascii="David" w:hAnsi="David"/>
          <w:rtl/>
        </w:rPr>
      </w:pPr>
      <w:r w:rsidRPr="00093D69">
        <w:rPr>
          <w:rFonts w:ascii="David" w:hAnsi="David"/>
          <w:rtl/>
        </w:rPr>
        <w:t xml:space="preserve">מענה חיובי לשאלה לעיל – משמעה כי השבת הקטין למקום מגוריו הרגיל, תחת נסיבות אלו, אינה עוד חובה מיידית המוטלת על בית המשפט (ר' ע"א 473/93 </w:t>
      </w:r>
      <w:r w:rsidRPr="00093D69">
        <w:rPr>
          <w:rFonts w:ascii="David" w:hAnsi="David"/>
          <w:b/>
          <w:bCs/>
          <w:rtl/>
        </w:rPr>
        <w:t>טלי ליבוביץ' נ' מיכאל ליבוביץ</w:t>
      </w:r>
      <w:r w:rsidRPr="00093D69">
        <w:rPr>
          <w:rFonts w:ascii="David" w:hAnsi="David"/>
          <w:rtl/>
        </w:rPr>
        <w:t xml:space="preserve">, פ"ד מז(כ) 63, 73 (1993), להלן </w:t>
      </w:r>
      <w:r w:rsidRPr="00093D69">
        <w:rPr>
          <w:rFonts w:ascii="David" w:hAnsi="David"/>
          <w:b/>
          <w:bCs/>
          <w:rtl/>
        </w:rPr>
        <w:t>"פרשת ליבוביץ"</w:t>
      </w:r>
      <w:r w:rsidRPr="00093D69">
        <w:rPr>
          <w:rFonts w:ascii="David" w:hAnsi="David"/>
          <w:rtl/>
        </w:rPr>
        <w:t>; פרשת דגן, לעיל, בעמ' 275).</w:t>
      </w:r>
    </w:p>
    <w:p w:rsidR="00093D69" w:rsidRPr="00093D69" w:rsidRDefault="00093D69" w:rsidP="009B38A4">
      <w:pPr>
        <w:pStyle w:val="2"/>
        <w:spacing w:line="360" w:lineRule="auto"/>
        <w:jc w:val="both"/>
        <w:rPr>
          <w:rFonts w:ascii="David" w:hAnsi="David"/>
          <w:rtl/>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lastRenderedPageBreak/>
        <w:t xml:space="preserve">מתוך הפסיקה אנו למדים על המבחנים והפריזמות דרכן יש להדרש לבירור תחולתם של חריגים אלה; זאת כאשר </w:t>
      </w:r>
      <w:r w:rsidRPr="00093D69">
        <w:rPr>
          <w:rFonts w:ascii="David" w:hAnsi="David"/>
          <w:u w:val="single"/>
          <w:rtl/>
        </w:rPr>
        <w:t xml:space="preserve">נקודת המוצא הפרשנית </w:t>
      </w:r>
      <w:r w:rsidRPr="00093D69">
        <w:rPr>
          <w:rFonts w:ascii="David" w:hAnsi="David"/>
          <w:rtl/>
        </w:rPr>
        <w:t xml:space="preserve">לבחינתם </w:t>
      </w:r>
      <w:r w:rsidRPr="00093D69">
        <w:rPr>
          <w:rFonts w:ascii="David" w:hAnsi="David"/>
          <w:u w:val="single"/>
          <w:rtl/>
        </w:rPr>
        <w:t>היא איזון עדין בין הצורך בבחינה נסיבתית של כל מקרה לגופו (אמת מידה מרחיבה) לבין הצורך בבחינה לאור תכליות האמנה (אמת מידה מצמצמת)</w:t>
      </w:r>
      <w:r w:rsidRPr="00093D69">
        <w:rPr>
          <w:rFonts w:ascii="David" w:hAnsi="David"/>
          <w:rtl/>
        </w:rPr>
        <w:t xml:space="preserve">; זאת כאשר הפסיקה קבעה, כי ככל ויוכחו קיומן של הסכמה או השלמה – לא ניתן לבטלן למפרע (כאמור בפסק דינה של כב' השופטת ע' ארבל בבע"מ 741/11 </w:t>
      </w:r>
      <w:r w:rsidRPr="00093D69">
        <w:rPr>
          <w:rFonts w:ascii="David" w:hAnsi="David"/>
          <w:b/>
          <w:bCs/>
          <w:rtl/>
        </w:rPr>
        <w:t xml:space="preserve">פלונית נ' פלוני </w:t>
      </w:r>
      <w:r w:rsidRPr="00093D69">
        <w:rPr>
          <w:rFonts w:ascii="David" w:hAnsi="David"/>
          <w:rtl/>
        </w:rPr>
        <w:t xml:space="preserve">(פורסם במאגרים המשפטים, 17.5.2011) סעיפים 20, 24 לפסה"ד; להלן </w:t>
      </w:r>
      <w:r w:rsidRPr="00093D69">
        <w:rPr>
          <w:rFonts w:ascii="David" w:hAnsi="David"/>
          <w:b/>
          <w:bCs/>
          <w:rtl/>
        </w:rPr>
        <w:t>"פרשת בע"מ 741/11"</w:t>
      </w:r>
      <w:r w:rsidRPr="00093D69">
        <w:rPr>
          <w:rFonts w:ascii="David" w:hAnsi="David"/>
          <w:rtl/>
        </w:rPr>
        <w:t>).</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b/>
          <w:bCs/>
          <w:u w:val="single"/>
          <w:rtl/>
        </w:rPr>
        <w:t>שלוש הקוראורדינטות המרכזיות</w:t>
      </w:r>
      <w:r w:rsidRPr="00093D69">
        <w:rPr>
          <w:rFonts w:ascii="David" w:hAnsi="David"/>
          <w:u w:val="single"/>
          <w:rtl/>
        </w:rPr>
        <w:t>, היוצרות את המרחב הפרשני המסייע בבחינת החריגים</w:t>
      </w:r>
      <w:r w:rsidRPr="00093D69">
        <w:rPr>
          <w:rFonts w:ascii="David" w:hAnsi="David"/>
          <w:rtl/>
        </w:rPr>
        <w:t>, אשר הותוו בפרשת בע"מ 741/11 (לעיל) הינם:</w:t>
      </w:r>
    </w:p>
    <w:p w:rsidR="009B38A4" w:rsidRPr="00093D69" w:rsidRDefault="009B38A4" w:rsidP="009B38A4">
      <w:pPr>
        <w:pStyle w:val="ad"/>
        <w:numPr>
          <w:ilvl w:val="0"/>
          <w:numId w:val="2"/>
        </w:numPr>
        <w:rPr>
          <w:rFonts w:ascii="David" w:hAnsi="David" w:cs="David"/>
          <w:sz w:val="24"/>
          <w:szCs w:val="24"/>
        </w:rPr>
      </w:pPr>
      <w:r w:rsidRPr="00093D69">
        <w:rPr>
          <w:rFonts w:ascii="David" w:hAnsi="David" w:cs="David"/>
          <w:sz w:val="24"/>
          <w:szCs w:val="24"/>
          <w:rtl/>
        </w:rPr>
        <w:t xml:space="preserve">אופי וטיב ההסכמה או ההשלמה </w:t>
      </w:r>
    </w:p>
    <w:p w:rsidR="009B38A4" w:rsidRPr="00093D69" w:rsidRDefault="009B38A4" w:rsidP="009B38A4">
      <w:pPr>
        <w:pStyle w:val="ad"/>
        <w:numPr>
          <w:ilvl w:val="0"/>
          <w:numId w:val="2"/>
        </w:numPr>
        <w:rPr>
          <w:rFonts w:ascii="David" w:hAnsi="David" w:cs="David"/>
          <w:sz w:val="24"/>
          <w:szCs w:val="24"/>
        </w:rPr>
      </w:pPr>
      <w:r w:rsidRPr="00093D69">
        <w:rPr>
          <w:rFonts w:ascii="David" w:hAnsi="David" w:cs="David"/>
          <w:sz w:val="24"/>
          <w:szCs w:val="24"/>
          <w:rtl/>
        </w:rPr>
        <w:t xml:space="preserve">תחולת דיני החוזים </w:t>
      </w:r>
    </w:p>
    <w:p w:rsidR="009B38A4" w:rsidRPr="00093D69" w:rsidRDefault="009B38A4" w:rsidP="009B38A4">
      <w:pPr>
        <w:pStyle w:val="ad"/>
        <w:numPr>
          <w:ilvl w:val="0"/>
          <w:numId w:val="2"/>
        </w:numPr>
        <w:rPr>
          <w:rFonts w:ascii="David" w:hAnsi="David" w:cs="David"/>
          <w:sz w:val="24"/>
          <w:szCs w:val="24"/>
        </w:rPr>
      </w:pPr>
      <w:r w:rsidRPr="00093D69">
        <w:rPr>
          <w:rFonts w:ascii="David" w:hAnsi="David" w:cs="David"/>
          <w:sz w:val="24"/>
          <w:szCs w:val="24"/>
          <w:rtl/>
        </w:rPr>
        <w:t xml:space="preserve">המשקל שיש </w:t>
      </w:r>
      <w:proofErr w:type="spellStart"/>
      <w:r w:rsidRPr="00093D69">
        <w:rPr>
          <w:rFonts w:ascii="David" w:hAnsi="David" w:cs="David"/>
          <w:sz w:val="24"/>
          <w:szCs w:val="24"/>
          <w:rtl/>
        </w:rPr>
        <w:t>ליתן</w:t>
      </w:r>
      <w:proofErr w:type="spellEnd"/>
      <w:r w:rsidRPr="00093D69">
        <w:rPr>
          <w:rFonts w:ascii="David" w:hAnsi="David" w:cs="David"/>
          <w:sz w:val="24"/>
          <w:szCs w:val="24"/>
          <w:rtl/>
        </w:rPr>
        <w:t xml:space="preserve"> לסיבות ההסכמה או ההשלמה כמו גם למשך הזמן שחלף.</w:t>
      </w:r>
      <w:r w:rsidRPr="00093D69">
        <w:rPr>
          <w:rFonts w:ascii="David" w:hAnsi="David" w:cs="David"/>
          <w:sz w:val="24"/>
          <w:szCs w:val="24"/>
        </w:rPr>
        <w:t xml:space="preserve"> </w:t>
      </w:r>
    </w:p>
    <w:p w:rsidR="009B38A4" w:rsidRPr="00093D69" w:rsidRDefault="009B38A4" w:rsidP="009B38A4">
      <w:pPr>
        <w:ind w:left="720"/>
        <w:rPr>
          <w:rFonts w:ascii="David" w:hAnsi="David"/>
          <w:u w:val="single"/>
        </w:rPr>
      </w:pPr>
      <w:r w:rsidRPr="00093D69">
        <w:rPr>
          <w:rFonts w:ascii="David" w:hAnsi="David"/>
          <w:b/>
          <w:bCs/>
          <w:rtl/>
        </w:rPr>
        <w:t>ובפירוט יתר</w:t>
      </w:r>
      <w:r w:rsidRPr="00093D69">
        <w:rPr>
          <w:rFonts w:ascii="David" w:hAnsi="David"/>
          <w:rtl/>
        </w:rPr>
        <w:t>;</w:t>
      </w:r>
    </w:p>
    <w:p w:rsidR="00234528" w:rsidRPr="00093D69" w:rsidRDefault="00234528" w:rsidP="009B38A4">
      <w:pPr>
        <w:pStyle w:val="ruller4"/>
        <w:ind w:left="720"/>
        <w:rPr>
          <w:rFonts w:ascii="David" w:hAnsi="David" w:cs="David"/>
          <w:b/>
          <w:bCs/>
          <w:sz w:val="24"/>
          <w:szCs w:val="24"/>
          <w:u w:val="single"/>
          <w:rtl/>
        </w:rPr>
      </w:pPr>
    </w:p>
    <w:p w:rsidR="009B38A4" w:rsidRPr="00093D69" w:rsidRDefault="009B38A4" w:rsidP="009B38A4">
      <w:pPr>
        <w:pStyle w:val="ruller4"/>
        <w:ind w:left="720"/>
        <w:rPr>
          <w:rFonts w:ascii="David" w:hAnsi="David" w:cs="David"/>
          <w:sz w:val="16"/>
        </w:rPr>
      </w:pPr>
      <w:r w:rsidRPr="00093D69">
        <w:rPr>
          <w:rFonts w:ascii="David" w:hAnsi="David" w:cs="David"/>
          <w:b/>
          <w:bCs/>
          <w:sz w:val="24"/>
          <w:szCs w:val="24"/>
          <w:u w:val="single"/>
          <w:rtl/>
        </w:rPr>
        <w:t>בחינת ההסכמה או ההשלמה</w:t>
      </w:r>
      <w:r w:rsidRPr="00093D69">
        <w:rPr>
          <w:rFonts w:ascii="David" w:hAnsi="David" w:cs="David"/>
          <w:b/>
          <w:bCs/>
          <w:sz w:val="24"/>
          <w:szCs w:val="24"/>
          <w:rtl/>
        </w:rPr>
        <w:t xml:space="preserve"> – </w:t>
      </w:r>
      <w:r w:rsidRPr="00093D69">
        <w:rPr>
          <w:rFonts w:ascii="David" w:hAnsi="David" w:cs="David"/>
          <w:sz w:val="24"/>
          <w:szCs w:val="24"/>
          <w:rtl/>
        </w:rPr>
        <w:t xml:space="preserve">המבחן הוא </w:t>
      </w:r>
      <w:r w:rsidRPr="00093D69">
        <w:rPr>
          <w:rFonts w:ascii="David" w:hAnsi="David" w:cs="David"/>
          <w:b/>
          <w:bCs/>
          <w:sz w:val="24"/>
          <w:szCs w:val="24"/>
          <w:u w:val="single"/>
          <w:rtl/>
        </w:rPr>
        <w:t>אינטגרטיבי</w:t>
      </w:r>
      <w:r w:rsidRPr="00093D69">
        <w:rPr>
          <w:rFonts w:ascii="David" w:hAnsi="David" w:cs="David"/>
          <w:sz w:val="24"/>
          <w:szCs w:val="24"/>
          <w:rtl/>
        </w:rPr>
        <w:t xml:space="preserve"> והוא בודק את התנהלות ההורה במכלול הנסיבות, ולא כבחינה מובחנת של צעדים נפרדים; ניתן כי הדבר ילמד </w:t>
      </w:r>
      <w:r w:rsidRPr="00093D69">
        <w:rPr>
          <w:rFonts w:ascii="David" w:hAnsi="David" w:cs="David"/>
          <w:sz w:val="24"/>
          <w:szCs w:val="24"/>
          <w:u w:val="single"/>
          <w:rtl/>
        </w:rPr>
        <w:t>ממעשה מפורש כמו גם מהתנהגות משתמעת ואף ממחדל</w:t>
      </w:r>
      <w:r w:rsidRPr="00093D69">
        <w:rPr>
          <w:rFonts w:ascii="David" w:hAnsi="David" w:cs="David"/>
          <w:sz w:val="24"/>
          <w:szCs w:val="24"/>
          <w:rtl/>
        </w:rPr>
        <w:t xml:space="preserve">. </w:t>
      </w:r>
      <w:r w:rsidRPr="00093D69">
        <w:rPr>
          <w:rFonts w:ascii="David" w:hAnsi="David" w:cs="David"/>
          <w:b/>
          <w:bCs/>
          <w:sz w:val="24"/>
          <w:szCs w:val="24"/>
          <w:rtl/>
        </w:rPr>
        <w:t>מבחן זה הוא אובייקטיבי</w:t>
      </w:r>
      <w:r w:rsidRPr="00093D69">
        <w:rPr>
          <w:rFonts w:ascii="David" w:hAnsi="David" w:cs="David"/>
          <w:sz w:val="24"/>
          <w:szCs w:val="24"/>
          <w:rtl/>
        </w:rPr>
        <w:t xml:space="preserve"> בעיקרו, זאת תוך שהלך הרוח הסובייקטיבי של ההורה הטוען לחטיפה ייבחן רק באופן שבו יתבטא בהתנהלות חיצונית אובייקטיבית; </w:t>
      </w:r>
      <w:r w:rsidRPr="00093D69">
        <w:rPr>
          <w:rFonts w:ascii="David" w:hAnsi="David" w:cs="David"/>
          <w:sz w:val="18"/>
          <w:szCs w:val="24"/>
          <w:rtl/>
        </w:rPr>
        <w:t xml:space="preserve"> על אופן ההתנהלות של אותו הורה ניתן להסיק אף </w:t>
      </w:r>
      <w:r w:rsidRPr="00093D69">
        <w:rPr>
          <w:rFonts w:ascii="David" w:hAnsi="David" w:cs="David"/>
          <w:sz w:val="18"/>
          <w:szCs w:val="24"/>
          <w:u w:val="single"/>
          <w:rtl/>
        </w:rPr>
        <w:t>ממודעותו לפגיעה בזכויותיו</w:t>
      </w:r>
      <w:r w:rsidRPr="00093D69">
        <w:rPr>
          <w:rFonts w:ascii="David" w:hAnsi="David" w:cs="David"/>
          <w:sz w:val="18"/>
          <w:szCs w:val="24"/>
          <w:rtl/>
        </w:rPr>
        <w:t xml:space="preserve"> ודי כי הוא הבין באופן כללי כי </w:t>
      </w:r>
      <w:r w:rsidRPr="00093D69">
        <w:rPr>
          <w:rFonts w:ascii="David" w:hAnsi="David" w:cs="David"/>
          <w:sz w:val="18"/>
          <w:szCs w:val="24"/>
          <w:rtl/>
        </w:rPr>
        <w:lastRenderedPageBreak/>
        <w:t xml:space="preserve">זכויותיו כהורה נפגעו או כי הן עתידות </w:t>
      </w:r>
      <w:proofErr w:type="spellStart"/>
      <w:r w:rsidRPr="00093D69">
        <w:rPr>
          <w:rFonts w:ascii="David" w:hAnsi="David" w:cs="David"/>
          <w:sz w:val="18"/>
          <w:szCs w:val="24"/>
          <w:rtl/>
        </w:rPr>
        <w:t>להפגע</w:t>
      </w:r>
      <w:proofErr w:type="spellEnd"/>
      <w:r w:rsidRPr="00093D69">
        <w:rPr>
          <w:rFonts w:ascii="David" w:hAnsi="David" w:cs="David"/>
          <w:sz w:val="18"/>
          <w:szCs w:val="24"/>
          <w:rtl/>
        </w:rPr>
        <w:t xml:space="preserve"> כדי ללמד על קיומה של מודעות </w:t>
      </w:r>
      <w:proofErr w:type="spellStart"/>
      <w:r w:rsidRPr="00093D69">
        <w:rPr>
          <w:rFonts w:ascii="David" w:hAnsi="David" w:cs="David"/>
          <w:sz w:val="18"/>
          <w:szCs w:val="24"/>
          <w:rtl/>
        </w:rPr>
        <w:t>מצידו</w:t>
      </w:r>
      <w:proofErr w:type="spellEnd"/>
      <w:r w:rsidRPr="00093D69">
        <w:rPr>
          <w:rFonts w:ascii="David" w:hAnsi="David" w:cs="David"/>
          <w:sz w:val="24"/>
          <w:szCs w:val="24"/>
          <w:rtl/>
        </w:rPr>
        <w:t>; דוגמא לכך הוא מצב שבו הורה ידע שנעשה מעשה שלא כדין והגם שכך לא פעל לקבלת ייעוץ משפטי (ר' פרשת בע"מ 741/11 (לעיל) סעיף 21 לפסה"ד של כב' השופטת ארבל).</w:t>
      </w:r>
    </w:p>
    <w:p w:rsidR="009B38A4" w:rsidRPr="00093D69" w:rsidRDefault="009B38A4" w:rsidP="009B38A4">
      <w:pPr>
        <w:pStyle w:val="ruller4"/>
        <w:rPr>
          <w:rFonts w:ascii="David" w:hAnsi="David" w:cs="David"/>
          <w:b/>
          <w:bCs/>
          <w:szCs w:val="28"/>
          <w:rtl/>
        </w:rPr>
      </w:pPr>
    </w:p>
    <w:p w:rsidR="009B38A4" w:rsidRPr="00093D69" w:rsidRDefault="009B38A4" w:rsidP="009B38A4">
      <w:pPr>
        <w:pStyle w:val="ruller4"/>
        <w:ind w:left="720"/>
        <w:rPr>
          <w:rFonts w:ascii="David" w:hAnsi="David" w:cs="David"/>
          <w:szCs w:val="28"/>
          <w:rtl/>
        </w:rPr>
      </w:pPr>
      <w:r w:rsidRPr="00093D69">
        <w:rPr>
          <w:rFonts w:ascii="David" w:hAnsi="David" w:cs="David"/>
          <w:b/>
          <w:bCs/>
          <w:sz w:val="24"/>
          <w:szCs w:val="24"/>
          <w:u w:val="single"/>
          <w:rtl/>
        </w:rPr>
        <w:t>תחולת דיני החוזים</w:t>
      </w:r>
      <w:r w:rsidRPr="00093D69">
        <w:rPr>
          <w:rFonts w:ascii="David" w:hAnsi="David" w:cs="David"/>
          <w:sz w:val="24"/>
          <w:szCs w:val="24"/>
          <w:rtl/>
        </w:rPr>
        <w:t xml:space="preserve"> – פעולת הסכמה או השלמה מסווגות כפעולות חוזיות בטיבן; משכך פעולה חד צדדית הנעשית על ידי מי מההורים משתכללת אצל משנהו ויוצרת אינטרס הסתמכות באשר לשנוי הסטאטוס קוו; בהתאם נפסק, כי : </w:t>
      </w:r>
      <w:r w:rsidRPr="00093D69">
        <w:rPr>
          <w:rFonts w:ascii="David" w:hAnsi="David" w:cs="David"/>
          <w:b/>
          <w:bCs/>
          <w:sz w:val="24"/>
          <w:szCs w:val="24"/>
          <w:rtl/>
        </w:rPr>
        <w:t xml:space="preserve">"כך למשל, דינה של הסכמה או השלמה שנעשתה תוך טעות, הטעייה, כפיה או עושק, כדין חוזה שנעשה בנסיבות דומות וניתן לביטול. כמו כן, אם ההורה החוטף היה מודע לכך שההורה הנחטף אינו מוותר על שינוי הסטאטוס קוו, הרי שטענה מטעמו לתחולת החריגים תעמוד בניגוד לעקרון תום הלב" </w:t>
      </w:r>
      <w:r w:rsidRPr="00093D69">
        <w:rPr>
          <w:rFonts w:ascii="David" w:hAnsi="David" w:cs="David"/>
          <w:sz w:val="24"/>
          <w:szCs w:val="24"/>
          <w:rtl/>
        </w:rPr>
        <w:t xml:space="preserve">(בע"מ 741/11 (לעיל) שם). </w:t>
      </w:r>
      <w:r w:rsidRPr="00093D69">
        <w:rPr>
          <w:rFonts w:ascii="David" w:hAnsi="David" w:cs="David"/>
          <w:sz w:val="16"/>
          <w:rtl/>
        </w:rPr>
        <w:t xml:space="preserve"> </w:t>
      </w:r>
    </w:p>
    <w:p w:rsidR="009B38A4" w:rsidRPr="00093D69" w:rsidRDefault="009B38A4" w:rsidP="009B38A4">
      <w:pPr>
        <w:pStyle w:val="ruller4"/>
        <w:ind w:left="720"/>
        <w:rPr>
          <w:rFonts w:ascii="David" w:hAnsi="David" w:cs="David"/>
          <w:szCs w:val="28"/>
          <w:rtl/>
        </w:rPr>
      </w:pPr>
    </w:p>
    <w:p w:rsidR="009B38A4" w:rsidRPr="00093D69" w:rsidRDefault="009B38A4" w:rsidP="009B38A4">
      <w:pPr>
        <w:pStyle w:val="ruller4"/>
        <w:ind w:left="720"/>
        <w:rPr>
          <w:rFonts w:ascii="David" w:hAnsi="David" w:cs="David"/>
          <w:sz w:val="12"/>
          <w:szCs w:val="12"/>
          <w:rtl/>
        </w:rPr>
      </w:pPr>
      <w:r w:rsidRPr="00093D69">
        <w:rPr>
          <w:rFonts w:ascii="David" w:hAnsi="David" w:cs="David"/>
          <w:b/>
          <w:bCs/>
          <w:sz w:val="24"/>
          <w:szCs w:val="24"/>
          <w:u w:val="single"/>
          <w:rtl/>
        </w:rPr>
        <w:t>המשקל הראוי לסיבות מתן הסכמה או השלמה וחלוף הזמן</w:t>
      </w:r>
      <w:r w:rsidRPr="00093D69">
        <w:rPr>
          <w:rFonts w:ascii="David" w:hAnsi="David" w:cs="David"/>
          <w:sz w:val="24"/>
          <w:szCs w:val="24"/>
          <w:rtl/>
        </w:rPr>
        <w:t xml:space="preserve"> – נפסק, כי בבחינת טיב ההסכמה או ההשלמה, אין להביא בחשבון את הסיבות לכך: </w:t>
      </w:r>
      <w:r w:rsidRPr="00093D69">
        <w:rPr>
          <w:rFonts w:ascii="David" w:hAnsi="David" w:cs="David"/>
          <w:b/>
          <w:bCs/>
          <w:sz w:val="24"/>
          <w:szCs w:val="24"/>
          <w:rtl/>
        </w:rPr>
        <w:t xml:space="preserve">"יהיו סיבותיו אשר יהיו, באם התנהגות ההורה מלמדת על הסכמה או השלמה עם מעשה החטיפה, יש להסיק מכך כי הוא וויתר על הסעד המהיר </w:t>
      </w:r>
      <w:proofErr w:type="spellStart"/>
      <w:r w:rsidRPr="00093D69">
        <w:rPr>
          <w:rFonts w:ascii="David" w:hAnsi="David" w:cs="David"/>
          <w:b/>
          <w:bCs/>
          <w:sz w:val="24"/>
          <w:szCs w:val="24"/>
          <w:rtl/>
        </w:rPr>
        <w:t>והמיידי</w:t>
      </w:r>
      <w:proofErr w:type="spellEnd"/>
      <w:r w:rsidRPr="00093D69">
        <w:rPr>
          <w:rFonts w:ascii="David" w:hAnsi="David" w:cs="David"/>
          <w:b/>
          <w:bCs/>
          <w:sz w:val="24"/>
          <w:szCs w:val="24"/>
          <w:rtl/>
        </w:rPr>
        <w:t xml:space="preserve"> המוענק באמנה, ונכון לפתור את הסכסוך בדרכים אלטרנטיביות" </w:t>
      </w:r>
      <w:r w:rsidRPr="00093D69">
        <w:rPr>
          <w:rFonts w:ascii="David" w:hAnsi="David" w:cs="David"/>
          <w:sz w:val="24"/>
          <w:szCs w:val="24"/>
          <w:rtl/>
        </w:rPr>
        <w:t>(פרשת ליבוביץ' לעיל, בעמ' 70).</w:t>
      </w:r>
    </w:p>
    <w:p w:rsidR="009B38A4" w:rsidRPr="00093D69" w:rsidRDefault="009B38A4" w:rsidP="009B38A4">
      <w:pPr>
        <w:pStyle w:val="ruller4"/>
        <w:ind w:left="720"/>
        <w:rPr>
          <w:rFonts w:ascii="David" w:hAnsi="David" w:cs="David"/>
          <w:sz w:val="18"/>
          <w:szCs w:val="24"/>
          <w:rtl/>
        </w:rPr>
      </w:pPr>
      <w:r w:rsidRPr="00093D69">
        <w:rPr>
          <w:rFonts w:ascii="David" w:hAnsi="David" w:cs="David"/>
          <w:b/>
          <w:bCs/>
          <w:sz w:val="18"/>
          <w:szCs w:val="24"/>
          <w:rtl/>
        </w:rPr>
        <w:t>רכיב חלוף הזמן, כאמור, מהווה אף הוא שיקול</w:t>
      </w:r>
      <w:r w:rsidRPr="00093D69">
        <w:rPr>
          <w:rFonts w:ascii="David" w:hAnsi="David" w:cs="David"/>
          <w:sz w:val="18"/>
          <w:szCs w:val="24"/>
          <w:rtl/>
        </w:rPr>
        <w:t xml:space="preserve">; שיקול שיש להתחשב בו במסגרת הבחינה; כאשר יש להידרש לשאלה האם אופן התנהלות ההורה במהלך התקופה שחלפה עולה בקנה אחד עם דרישתו להשבת הקטין, והאם מתוך כך, ותוך התחשבות ביתר הנסיבות הפרטיקולריות העומדות בפני בית המשפט, יש כדי להוביל למסקנת קיומה של השלמה </w:t>
      </w:r>
      <w:proofErr w:type="spellStart"/>
      <w:r w:rsidRPr="00093D69">
        <w:rPr>
          <w:rFonts w:ascii="David" w:hAnsi="David" w:cs="David"/>
          <w:sz w:val="18"/>
          <w:szCs w:val="24"/>
          <w:rtl/>
        </w:rPr>
        <w:t>מצידו</w:t>
      </w:r>
      <w:proofErr w:type="spellEnd"/>
      <w:r w:rsidRPr="00093D69">
        <w:rPr>
          <w:rFonts w:ascii="David" w:hAnsi="David" w:cs="David"/>
          <w:sz w:val="18"/>
          <w:szCs w:val="24"/>
          <w:rtl/>
        </w:rPr>
        <w:t>.</w:t>
      </w:r>
    </w:p>
    <w:p w:rsidR="009B38A4" w:rsidRPr="00093D69" w:rsidRDefault="009B38A4" w:rsidP="009B38A4">
      <w:pPr>
        <w:pStyle w:val="ruller4"/>
        <w:ind w:left="720"/>
        <w:rPr>
          <w:rFonts w:ascii="David" w:hAnsi="David" w:cs="David"/>
          <w:sz w:val="18"/>
          <w:szCs w:val="24"/>
          <w:rtl/>
        </w:rPr>
      </w:pPr>
    </w:p>
    <w:p w:rsidR="009B38A4" w:rsidRPr="00093D69" w:rsidRDefault="009B38A4" w:rsidP="009B38A4">
      <w:pPr>
        <w:pStyle w:val="ruller4"/>
        <w:ind w:left="720"/>
        <w:rPr>
          <w:rFonts w:ascii="David" w:hAnsi="David" w:cs="David"/>
          <w:sz w:val="24"/>
          <w:szCs w:val="24"/>
          <w:rtl/>
        </w:rPr>
      </w:pPr>
      <w:r w:rsidRPr="00093D69">
        <w:rPr>
          <w:rFonts w:ascii="David" w:hAnsi="David" w:cs="David"/>
          <w:b/>
          <w:bCs/>
          <w:sz w:val="18"/>
          <w:szCs w:val="24"/>
          <w:u w:val="single"/>
          <w:rtl/>
        </w:rPr>
        <w:t>בהבדל מחריג ההשלמה</w:t>
      </w:r>
      <w:r w:rsidRPr="00093D69">
        <w:rPr>
          <w:rFonts w:ascii="David" w:hAnsi="David" w:cs="David"/>
          <w:sz w:val="18"/>
          <w:szCs w:val="24"/>
          <w:rtl/>
        </w:rPr>
        <w:t>, ב</w:t>
      </w:r>
      <w:r w:rsidRPr="00093D69">
        <w:rPr>
          <w:rFonts w:ascii="David" w:hAnsi="David" w:cs="David"/>
          <w:b/>
          <w:bCs/>
          <w:sz w:val="18"/>
          <w:szCs w:val="24"/>
          <w:u w:val="single"/>
          <w:rtl/>
        </w:rPr>
        <w:t>בחינת חריג ההסכמה</w:t>
      </w:r>
      <w:r w:rsidRPr="00093D69">
        <w:rPr>
          <w:rFonts w:ascii="David" w:hAnsi="David" w:cs="David"/>
          <w:sz w:val="18"/>
          <w:szCs w:val="24"/>
          <w:rtl/>
        </w:rPr>
        <w:t xml:space="preserve"> – </w:t>
      </w:r>
      <w:r w:rsidRPr="00093D69">
        <w:rPr>
          <w:rFonts w:ascii="David" w:hAnsi="David" w:cs="David"/>
          <w:b/>
          <w:bCs/>
          <w:sz w:val="18"/>
          <w:szCs w:val="24"/>
          <w:u w:val="single"/>
          <w:rtl/>
        </w:rPr>
        <w:t>רכיב הזמן משמעותי פחות</w:t>
      </w:r>
      <w:r w:rsidRPr="00093D69">
        <w:rPr>
          <w:rFonts w:ascii="David" w:hAnsi="David" w:cs="David"/>
          <w:sz w:val="18"/>
          <w:szCs w:val="24"/>
          <w:rtl/>
        </w:rPr>
        <w:t xml:space="preserve"> </w:t>
      </w:r>
      <w:r w:rsidRPr="00093D69">
        <w:rPr>
          <w:rFonts w:ascii="David" w:hAnsi="David" w:cs="David"/>
          <w:b/>
          <w:bCs/>
          <w:sz w:val="18"/>
          <w:szCs w:val="24"/>
          <w:u w:val="single"/>
          <w:rtl/>
        </w:rPr>
        <w:t>וייתכנו גם מקרים שבהם יעברו פרקי זמן קצרים או ארוכים מועד החטיפה ועד להגשת התביעה, ברם ברובם לא תהא לכך נפקות</w:t>
      </w:r>
      <w:r w:rsidRPr="00093D69">
        <w:rPr>
          <w:rFonts w:ascii="David" w:hAnsi="David" w:cs="David"/>
          <w:sz w:val="18"/>
          <w:szCs w:val="24"/>
          <w:rtl/>
        </w:rPr>
        <w:t xml:space="preserve"> – זאת, בין היתר, בראי העובדה כי הסכמה צריך שתינתן </w:t>
      </w:r>
      <w:r w:rsidRPr="00093D69">
        <w:rPr>
          <w:rFonts w:ascii="David" w:hAnsi="David" w:cs="David"/>
          <w:sz w:val="18"/>
          <w:szCs w:val="24"/>
          <w:u w:val="single"/>
          <w:rtl/>
        </w:rPr>
        <w:t>מראש</w:t>
      </w:r>
      <w:r w:rsidRPr="00093D69">
        <w:rPr>
          <w:rFonts w:ascii="David" w:hAnsi="David" w:cs="David"/>
          <w:sz w:val="18"/>
          <w:szCs w:val="24"/>
          <w:rtl/>
        </w:rPr>
        <w:t>:</w:t>
      </w:r>
      <w:r w:rsidRPr="00093D69">
        <w:rPr>
          <w:rFonts w:ascii="David" w:hAnsi="David" w:cs="David"/>
          <w:b/>
          <w:bCs/>
          <w:sz w:val="18"/>
          <w:szCs w:val="24"/>
          <w:rtl/>
        </w:rPr>
        <w:t xml:space="preserve"> </w:t>
      </w:r>
      <w:r w:rsidRPr="00093D69">
        <w:rPr>
          <w:rFonts w:ascii="David" w:hAnsi="David" w:cs="David"/>
          <w:b/>
          <w:bCs/>
          <w:sz w:val="24"/>
          <w:szCs w:val="24"/>
          <w:rtl/>
        </w:rPr>
        <w:t xml:space="preserve">"לפיכך, תחת חריג ההסכמה השאלה המרכזית הינה שאלה של משקל, היינו, מהן הנסיבות המלמדות על ההסכמה, ועד כמה מעידות הן ברחל בתך הקטנה על הסכמת ההורה "הנחטף" לוויתור על "העזרה הראשונה" הניתנת בחסות האמנה, וכל זאת בכפוף לגבולות החריגים" </w:t>
      </w:r>
      <w:r w:rsidRPr="00093D69">
        <w:rPr>
          <w:rFonts w:ascii="David" w:hAnsi="David" w:cs="David"/>
          <w:sz w:val="24"/>
          <w:szCs w:val="24"/>
          <w:rtl/>
        </w:rPr>
        <w:t>(בע"מ 741/11 (לעיל) פסקה 23 לפסה"ד).</w:t>
      </w:r>
    </w:p>
    <w:p w:rsidR="009B38A4" w:rsidRPr="00093D69" w:rsidRDefault="009B38A4" w:rsidP="009B38A4">
      <w:pPr>
        <w:pStyle w:val="ruller4"/>
        <w:rPr>
          <w:rFonts w:ascii="David" w:hAnsi="David" w:cs="David"/>
          <w:sz w:val="24"/>
          <w:szCs w:val="24"/>
          <w:rtl/>
        </w:rPr>
      </w:pPr>
      <w:r w:rsidRPr="00093D69">
        <w:rPr>
          <w:rFonts w:ascii="David" w:hAnsi="David" w:cs="David"/>
          <w:sz w:val="24"/>
          <w:szCs w:val="24"/>
          <w:rtl/>
        </w:rPr>
        <w:tab/>
      </w:r>
    </w:p>
    <w:p w:rsidR="009B38A4" w:rsidRDefault="009B38A4" w:rsidP="009B38A4">
      <w:pPr>
        <w:pStyle w:val="ruller4"/>
        <w:ind w:firstLine="360"/>
        <w:rPr>
          <w:rFonts w:ascii="David" w:hAnsi="David" w:cs="David"/>
          <w:b/>
          <w:bCs/>
          <w:sz w:val="24"/>
          <w:szCs w:val="24"/>
          <w:u w:val="single"/>
          <w:rtl/>
        </w:rPr>
      </w:pPr>
      <w:r w:rsidRPr="00093D69">
        <w:rPr>
          <w:rFonts w:ascii="David" w:hAnsi="David" w:cs="David"/>
          <w:b/>
          <w:bCs/>
          <w:sz w:val="24"/>
          <w:szCs w:val="24"/>
          <w:u w:val="single"/>
          <w:rtl/>
        </w:rPr>
        <w:t xml:space="preserve">חריג "החשש החמור" כי השבת הקטין למקום מגוריו הרגיל תגרום לנזק </w:t>
      </w:r>
    </w:p>
    <w:p w:rsidR="00093D69" w:rsidRPr="00093D69" w:rsidRDefault="00093D69" w:rsidP="009B38A4">
      <w:pPr>
        <w:pStyle w:val="ruller4"/>
        <w:ind w:firstLine="360"/>
        <w:rPr>
          <w:rFonts w:ascii="David" w:hAnsi="David" w:cs="David"/>
          <w:b/>
          <w:bCs/>
          <w:sz w:val="24"/>
          <w:szCs w:val="24"/>
          <w:u w:val="single"/>
          <w:rtl/>
        </w:rPr>
      </w:pPr>
    </w:p>
    <w:p w:rsidR="009B38A4" w:rsidRPr="00093D69" w:rsidRDefault="009B38A4" w:rsidP="009B38A4">
      <w:pPr>
        <w:pStyle w:val="2"/>
        <w:numPr>
          <w:ilvl w:val="0"/>
          <w:numId w:val="1"/>
        </w:numPr>
        <w:spacing w:line="360" w:lineRule="auto"/>
        <w:ind w:right="-426"/>
        <w:jc w:val="both"/>
        <w:rPr>
          <w:rFonts w:ascii="David" w:hAnsi="David"/>
          <w:b/>
          <w:bCs/>
          <w:rtl/>
        </w:rPr>
      </w:pPr>
      <w:r w:rsidRPr="00093D69">
        <w:rPr>
          <w:rFonts w:ascii="David" w:hAnsi="David"/>
          <w:rtl/>
        </w:rPr>
        <w:t>סעיף 13(ב) לאמנה, קובע כדלקמן:</w:t>
      </w:r>
      <w:r w:rsidRPr="00093D69">
        <w:rPr>
          <w:rFonts w:ascii="David" w:hAnsi="David"/>
          <w:b/>
          <w:bCs/>
          <w:rtl/>
        </w:rPr>
        <w:t xml:space="preserve"> </w:t>
      </w:r>
    </w:p>
    <w:p w:rsidR="009B38A4" w:rsidRPr="00093D69" w:rsidRDefault="009B38A4" w:rsidP="009B38A4">
      <w:pPr>
        <w:pStyle w:val="2"/>
        <w:spacing w:line="360" w:lineRule="auto"/>
        <w:ind w:right="-426"/>
        <w:jc w:val="both"/>
        <w:rPr>
          <w:rFonts w:ascii="David" w:hAnsi="David"/>
          <w:b/>
          <w:bCs/>
        </w:rPr>
      </w:pPr>
      <w:r w:rsidRPr="00093D69">
        <w:rPr>
          <w:rFonts w:ascii="David" w:hAnsi="David"/>
          <w:b/>
          <w:bCs/>
          <w:sz w:val="22"/>
          <w:szCs w:val="22"/>
          <w:rtl/>
        </w:rPr>
        <w:t xml:space="preserve">"קיים </w:t>
      </w:r>
      <w:r w:rsidRPr="00093D69">
        <w:rPr>
          <w:rFonts w:ascii="David" w:hAnsi="David"/>
          <w:b/>
          <w:bCs/>
          <w:sz w:val="22"/>
          <w:szCs w:val="22"/>
          <w:u w:val="single"/>
          <w:rtl/>
        </w:rPr>
        <w:t>חשש חמור</w:t>
      </w:r>
      <w:r w:rsidRPr="00093D69">
        <w:rPr>
          <w:rFonts w:ascii="David" w:hAnsi="David"/>
          <w:b/>
          <w:bCs/>
          <w:sz w:val="22"/>
          <w:szCs w:val="22"/>
          <w:rtl/>
        </w:rPr>
        <w:t xml:space="preserve"> ש</w:t>
      </w:r>
      <w:r w:rsidRPr="00093D69">
        <w:rPr>
          <w:rFonts w:ascii="David" w:hAnsi="David"/>
          <w:b/>
          <w:bCs/>
          <w:sz w:val="22"/>
          <w:szCs w:val="22"/>
          <w:u w:val="single"/>
          <w:rtl/>
        </w:rPr>
        <w:t xml:space="preserve">החזרתו של הילד </w:t>
      </w:r>
      <w:r w:rsidRPr="00093D69">
        <w:rPr>
          <w:rFonts w:ascii="David" w:hAnsi="David"/>
          <w:b/>
          <w:bCs/>
          <w:sz w:val="22"/>
          <w:szCs w:val="22"/>
          <w:rtl/>
        </w:rPr>
        <w:t xml:space="preserve">תחשוף אותו </w:t>
      </w:r>
      <w:r w:rsidRPr="00093D69">
        <w:rPr>
          <w:rFonts w:ascii="David" w:hAnsi="David"/>
          <w:b/>
          <w:bCs/>
          <w:sz w:val="22"/>
          <w:szCs w:val="22"/>
          <w:u w:val="single"/>
          <w:rtl/>
        </w:rPr>
        <w:t>לנזק פיזי או פסיכולוגי</w:t>
      </w:r>
      <w:r w:rsidRPr="00093D69">
        <w:rPr>
          <w:rFonts w:ascii="David" w:hAnsi="David"/>
          <w:b/>
          <w:bCs/>
          <w:sz w:val="22"/>
          <w:szCs w:val="22"/>
          <w:rtl/>
        </w:rPr>
        <w:t xml:space="preserve"> או </w:t>
      </w:r>
      <w:r w:rsidRPr="00093D69">
        <w:rPr>
          <w:rFonts w:ascii="David" w:hAnsi="David"/>
          <w:b/>
          <w:bCs/>
          <w:sz w:val="22"/>
          <w:szCs w:val="22"/>
          <w:u w:val="single"/>
          <w:rtl/>
        </w:rPr>
        <w:t>תעמיד את הילד בדרך אחרת במצב בלתי נסבל</w:t>
      </w:r>
      <w:r w:rsidRPr="00093D69">
        <w:rPr>
          <w:rFonts w:ascii="David" w:hAnsi="David"/>
          <w:b/>
          <w:bCs/>
          <w:sz w:val="22"/>
          <w:szCs w:val="22"/>
          <w:rtl/>
        </w:rPr>
        <w:t>.</w:t>
      </w:r>
    </w:p>
    <w:p w:rsidR="009B38A4" w:rsidRPr="00093D69" w:rsidRDefault="009B38A4" w:rsidP="009B38A4">
      <w:pPr>
        <w:pStyle w:val="ad"/>
        <w:spacing w:line="360" w:lineRule="auto"/>
        <w:ind w:right="-426"/>
        <w:jc w:val="both"/>
        <w:rPr>
          <w:rFonts w:ascii="David" w:hAnsi="David" w:cs="David"/>
          <w:b/>
          <w:bCs/>
          <w:rtl/>
        </w:rPr>
      </w:pPr>
      <w:r w:rsidRPr="00093D69">
        <w:rPr>
          <w:rFonts w:ascii="David" w:hAnsi="David" w:cs="David"/>
          <w:b/>
          <w:bCs/>
          <w:rtl/>
        </w:rPr>
        <w:t xml:space="preserve">הרשות השיפוטית או </w:t>
      </w:r>
      <w:proofErr w:type="spellStart"/>
      <w:r w:rsidRPr="00093D69">
        <w:rPr>
          <w:rFonts w:ascii="David" w:hAnsi="David" w:cs="David"/>
          <w:b/>
          <w:bCs/>
          <w:rtl/>
        </w:rPr>
        <w:t>המינהלית</w:t>
      </w:r>
      <w:proofErr w:type="spellEnd"/>
      <w:r w:rsidRPr="00093D69">
        <w:rPr>
          <w:rFonts w:ascii="David" w:hAnsi="David" w:cs="David"/>
          <w:b/>
          <w:bCs/>
          <w:rtl/>
        </w:rPr>
        <w:t xml:space="preserve"> רשאית כמו כן לסרב לצוות על החזרת הילד אם התברר לה כי הילד מתנגד להחזרתו וכי הוא הגיע לגיל ולרמת בגרות שבהם מן הראוי להביא בחשבון את השקפותיו. </w:t>
      </w:r>
    </w:p>
    <w:p w:rsidR="009B38A4" w:rsidRPr="00093D69" w:rsidRDefault="009B38A4" w:rsidP="009B38A4">
      <w:pPr>
        <w:pStyle w:val="ad"/>
        <w:spacing w:line="360" w:lineRule="auto"/>
        <w:ind w:right="-426"/>
        <w:jc w:val="both"/>
        <w:rPr>
          <w:rFonts w:ascii="David" w:hAnsi="David" w:cs="David"/>
          <w:b/>
          <w:bCs/>
          <w:rtl/>
        </w:rPr>
      </w:pPr>
      <w:r w:rsidRPr="00093D69">
        <w:rPr>
          <w:rFonts w:ascii="David" w:hAnsi="David" w:cs="David"/>
          <w:b/>
          <w:bCs/>
          <w:rtl/>
        </w:rPr>
        <w:t xml:space="preserve">בבואן לשקול את הנסיבות הנזכרות בסעיף זה, יביאו הרשויות השיפוטיות </w:t>
      </w:r>
      <w:proofErr w:type="spellStart"/>
      <w:r w:rsidRPr="00093D69">
        <w:rPr>
          <w:rFonts w:ascii="David" w:hAnsi="David" w:cs="David"/>
          <w:b/>
          <w:bCs/>
          <w:rtl/>
        </w:rPr>
        <w:t>והמינהליות</w:t>
      </w:r>
      <w:proofErr w:type="spellEnd"/>
      <w:r w:rsidRPr="00093D69">
        <w:rPr>
          <w:rFonts w:ascii="David" w:hAnsi="David" w:cs="David"/>
          <w:b/>
          <w:bCs/>
          <w:rtl/>
        </w:rPr>
        <w:t xml:space="preserve"> בחשבון את המידע בדבר רקעו החברתי של הילד, כפי שהומצא על ידי הרשות המרכזית או רשות מוסמכת אחרת שבמקום מגוריו הרגיל של הילד".</w:t>
      </w:r>
    </w:p>
    <w:p w:rsidR="009B38A4" w:rsidRPr="00093D69" w:rsidRDefault="009B38A4" w:rsidP="009B38A4">
      <w:pPr>
        <w:pStyle w:val="ad"/>
        <w:spacing w:line="360" w:lineRule="auto"/>
        <w:ind w:right="-426"/>
        <w:rPr>
          <w:rFonts w:ascii="David" w:hAnsi="David" w:cs="David"/>
          <w:b/>
          <w:bCs/>
          <w:rtl/>
        </w:rPr>
      </w:pPr>
    </w:p>
    <w:p w:rsidR="009B38A4" w:rsidRPr="00093D69" w:rsidRDefault="009B38A4" w:rsidP="009B38A4">
      <w:pPr>
        <w:pStyle w:val="ad"/>
        <w:numPr>
          <w:ilvl w:val="0"/>
          <w:numId w:val="1"/>
        </w:numPr>
        <w:spacing w:line="360" w:lineRule="auto"/>
        <w:ind w:right="-426"/>
        <w:jc w:val="both"/>
        <w:rPr>
          <w:rFonts w:ascii="David" w:hAnsi="David" w:cs="David"/>
          <w:b/>
          <w:bCs/>
          <w:rtl/>
        </w:rPr>
      </w:pPr>
      <w:r w:rsidRPr="00093D69">
        <w:rPr>
          <w:rFonts w:ascii="David" w:hAnsi="David" w:cs="David"/>
          <w:sz w:val="24"/>
          <w:szCs w:val="24"/>
          <w:rtl/>
        </w:rPr>
        <w:lastRenderedPageBreak/>
        <w:t xml:space="preserve">כאמור ולמקרא בהוראת סעיף 13(ב) לאמנה עולה דבר קיומם של </w:t>
      </w:r>
      <w:r w:rsidRPr="00093D69">
        <w:rPr>
          <w:rFonts w:ascii="David" w:hAnsi="David" w:cs="David"/>
          <w:sz w:val="24"/>
          <w:szCs w:val="24"/>
          <w:u w:val="single"/>
          <w:rtl/>
        </w:rPr>
        <w:t>שני חריגים נפרדים</w:t>
      </w:r>
      <w:r w:rsidRPr="00093D69">
        <w:rPr>
          <w:rFonts w:ascii="David" w:hAnsi="David" w:cs="David"/>
          <w:sz w:val="24"/>
          <w:szCs w:val="24"/>
          <w:rtl/>
        </w:rPr>
        <w:t>, העומדים במובחן זה מזה, לרבות על התנאים להוכחתם; הראשון ברישא לסעיף – המומשג בפסיקה כ"</w:t>
      </w:r>
      <w:r w:rsidRPr="00093D69">
        <w:rPr>
          <w:rFonts w:ascii="David" w:hAnsi="David" w:cs="David"/>
          <w:sz w:val="24"/>
          <w:szCs w:val="24"/>
          <w:u w:val="single"/>
          <w:rtl/>
        </w:rPr>
        <w:t>חריג החשש החמור</w:t>
      </w:r>
      <w:r w:rsidRPr="00093D69">
        <w:rPr>
          <w:rFonts w:ascii="David" w:hAnsi="David" w:cs="David"/>
          <w:sz w:val="24"/>
          <w:szCs w:val="24"/>
          <w:rtl/>
        </w:rPr>
        <w:t>", והשני בסיפא לסעיף – המומשג בפסיקה כ</w:t>
      </w:r>
      <w:r w:rsidRPr="00093D69">
        <w:rPr>
          <w:rFonts w:ascii="David" w:hAnsi="David" w:cs="David"/>
          <w:sz w:val="24"/>
          <w:szCs w:val="24"/>
          <w:u w:val="single"/>
          <w:rtl/>
        </w:rPr>
        <w:t>"חריג התנגדות הילד</w:t>
      </w:r>
      <w:r w:rsidRPr="00093D69">
        <w:rPr>
          <w:rFonts w:ascii="David" w:hAnsi="David" w:cs="David"/>
          <w:sz w:val="24"/>
          <w:szCs w:val="24"/>
          <w:rtl/>
        </w:rPr>
        <w:t xml:space="preserve">"; כאשר בעניין זה קובעת הפסיקה, כי יש לבחון ולהידרש לכל חריג כעילה נפרדת על יסוד התנאים לקיומה (ר', למשל, בע"מ 2808/15 </w:t>
      </w:r>
      <w:r w:rsidRPr="00093D69">
        <w:rPr>
          <w:rFonts w:ascii="David" w:hAnsi="David" w:cs="David"/>
          <w:b/>
          <w:bCs/>
          <w:sz w:val="24"/>
          <w:szCs w:val="24"/>
          <w:rtl/>
        </w:rPr>
        <w:t xml:space="preserve">פלוני נ' פלונית </w:t>
      </w:r>
      <w:r w:rsidRPr="00093D69">
        <w:rPr>
          <w:rFonts w:ascii="David" w:hAnsi="David" w:cs="David"/>
          <w:sz w:val="24"/>
          <w:szCs w:val="24"/>
          <w:rtl/>
        </w:rPr>
        <w:t xml:space="preserve">(פורסם במאגרים המשפטיים, 20.5.2015 בפסקה 6 לפסה"ד של כב' השופט נ' הנדל; כן ר' </w:t>
      </w:r>
      <w:proofErr w:type="spellStart"/>
      <w:r w:rsidRPr="00093D69">
        <w:rPr>
          <w:rFonts w:ascii="David" w:hAnsi="David" w:cs="David"/>
          <w:sz w:val="24"/>
          <w:szCs w:val="24"/>
          <w:rtl/>
        </w:rPr>
        <w:t>עמ"ש</w:t>
      </w:r>
      <w:proofErr w:type="spellEnd"/>
      <w:r w:rsidRPr="00093D69">
        <w:rPr>
          <w:rFonts w:ascii="David" w:hAnsi="David" w:cs="David"/>
          <w:sz w:val="24"/>
          <w:szCs w:val="24"/>
          <w:rtl/>
        </w:rPr>
        <w:t xml:space="preserve"> (חיפה) 18415-12-23 </w:t>
      </w:r>
      <w:r w:rsidRPr="00093D69">
        <w:rPr>
          <w:rFonts w:ascii="David" w:hAnsi="David" w:cs="David"/>
          <w:b/>
          <w:bCs/>
          <w:sz w:val="24"/>
          <w:szCs w:val="24"/>
          <w:rtl/>
        </w:rPr>
        <w:t xml:space="preserve">פלונית נ' פלוני </w:t>
      </w:r>
      <w:r w:rsidRPr="00093D69">
        <w:rPr>
          <w:rFonts w:ascii="David" w:hAnsi="David" w:cs="David"/>
          <w:sz w:val="24"/>
          <w:szCs w:val="24"/>
          <w:rtl/>
        </w:rPr>
        <w:t xml:space="preserve">(פורסם במאגרים המשפטיים, 31.3.2024), להלן </w:t>
      </w:r>
      <w:r w:rsidRPr="00093D69">
        <w:rPr>
          <w:rFonts w:ascii="David" w:hAnsi="David" w:cs="David"/>
          <w:b/>
          <w:bCs/>
          <w:sz w:val="24"/>
          <w:szCs w:val="24"/>
          <w:rtl/>
        </w:rPr>
        <w:t>"</w:t>
      </w:r>
      <w:proofErr w:type="spellStart"/>
      <w:r w:rsidRPr="00093D69">
        <w:rPr>
          <w:rFonts w:ascii="David" w:hAnsi="David" w:cs="David"/>
          <w:b/>
          <w:bCs/>
          <w:sz w:val="24"/>
          <w:szCs w:val="24"/>
          <w:rtl/>
        </w:rPr>
        <w:t>עמ"ש</w:t>
      </w:r>
      <w:proofErr w:type="spellEnd"/>
      <w:r w:rsidRPr="00093D69">
        <w:rPr>
          <w:rFonts w:ascii="David" w:hAnsi="David" w:cs="David"/>
          <w:b/>
          <w:bCs/>
          <w:sz w:val="24"/>
          <w:szCs w:val="24"/>
          <w:rtl/>
        </w:rPr>
        <w:t xml:space="preserve"> חיפה 2023"</w:t>
      </w:r>
      <w:r w:rsidRPr="00093D69">
        <w:rPr>
          <w:rFonts w:ascii="David" w:hAnsi="David" w:cs="David"/>
          <w:sz w:val="24"/>
          <w:szCs w:val="24"/>
          <w:rtl/>
        </w:rPr>
        <w:t xml:space="preserve"> סעיף 26 לפסה"ד של כב' השופט ס' ג'יוסי)</w:t>
      </w:r>
      <w:r w:rsidRPr="00093D69">
        <w:rPr>
          <w:rFonts w:ascii="David" w:hAnsi="David" w:cs="David"/>
          <w:rtl/>
        </w:rPr>
        <w:t>.</w:t>
      </w:r>
    </w:p>
    <w:p w:rsidR="009B38A4" w:rsidRPr="00093D69" w:rsidRDefault="009B38A4" w:rsidP="009B38A4">
      <w:pPr>
        <w:pStyle w:val="ad"/>
        <w:spacing w:line="360" w:lineRule="auto"/>
        <w:ind w:right="-426"/>
        <w:jc w:val="both"/>
        <w:rPr>
          <w:rFonts w:ascii="David" w:hAnsi="David" w:cs="David"/>
          <w:b/>
          <w:bCs/>
        </w:rPr>
      </w:pPr>
    </w:p>
    <w:p w:rsidR="009B38A4" w:rsidRPr="00093D69" w:rsidRDefault="009B38A4" w:rsidP="009B38A4">
      <w:pPr>
        <w:pStyle w:val="ad"/>
        <w:numPr>
          <w:ilvl w:val="0"/>
          <w:numId w:val="1"/>
        </w:numPr>
        <w:spacing w:line="360" w:lineRule="auto"/>
        <w:ind w:right="-426"/>
        <w:jc w:val="both"/>
        <w:rPr>
          <w:rFonts w:ascii="David" w:hAnsi="David" w:cs="David"/>
          <w:b/>
          <w:bCs/>
        </w:rPr>
      </w:pPr>
      <w:r w:rsidRPr="00093D69">
        <w:rPr>
          <w:rFonts w:ascii="David" w:hAnsi="David" w:cs="David"/>
          <w:sz w:val="24"/>
          <w:szCs w:val="24"/>
          <w:rtl/>
        </w:rPr>
        <w:t xml:space="preserve">בהינתן טענות הנתבעת בנדון, כמו גם בהיות הקטינה שבליבת הסכסוך פעוטה שבקרוב אך ימלאו לה שנתיים ימים, רלבנטי הרישא לסעיף 13(ב) לאמנה, קרי "חריג החשש החמור"; ועל כן, </w:t>
      </w:r>
      <w:r w:rsidRPr="00093D69">
        <w:rPr>
          <w:rFonts w:ascii="David" w:hAnsi="David" w:cs="David"/>
          <w:b/>
          <w:bCs/>
          <w:sz w:val="24"/>
          <w:szCs w:val="24"/>
          <w:rtl/>
        </w:rPr>
        <w:t>בכך תתמקד סקירה נורמטיבית זו</w:t>
      </w:r>
      <w:r w:rsidRPr="00093D69">
        <w:rPr>
          <w:rFonts w:ascii="David" w:hAnsi="David" w:cs="David"/>
          <w:sz w:val="24"/>
          <w:szCs w:val="24"/>
          <w:rtl/>
        </w:rPr>
        <w:t>.</w:t>
      </w:r>
    </w:p>
    <w:p w:rsidR="009B38A4" w:rsidRPr="00093D69" w:rsidRDefault="009B38A4" w:rsidP="009B38A4">
      <w:pPr>
        <w:pStyle w:val="ad"/>
        <w:rPr>
          <w:rFonts w:ascii="David" w:hAnsi="David" w:cs="David"/>
          <w:b/>
          <w:bCs/>
        </w:rPr>
      </w:pPr>
    </w:p>
    <w:p w:rsidR="009B38A4" w:rsidRPr="00093D69" w:rsidRDefault="009B38A4" w:rsidP="009B38A4">
      <w:pPr>
        <w:pStyle w:val="ad"/>
        <w:numPr>
          <w:ilvl w:val="0"/>
          <w:numId w:val="1"/>
        </w:numPr>
        <w:spacing w:line="360" w:lineRule="auto"/>
        <w:ind w:right="-426"/>
        <w:jc w:val="both"/>
        <w:rPr>
          <w:rFonts w:ascii="David" w:hAnsi="David" w:cs="David"/>
          <w:b/>
          <w:bCs/>
          <w:sz w:val="24"/>
          <w:szCs w:val="24"/>
          <w:rtl/>
        </w:rPr>
      </w:pPr>
      <w:r w:rsidRPr="00093D69">
        <w:rPr>
          <w:rFonts w:ascii="David" w:hAnsi="David" w:cs="David"/>
          <w:sz w:val="24"/>
          <w:szCs w:val="24"/>
          <w:u w:val="single"/>
          <w:rtl/>
        </w:rPr>
        <w:t>פרשנות חריג "החשש החמור" התפתחה בפסיקה נרחבת, אשר ממנה ניתן לחלץ את המבחנים, אמות המידה והכלים להם יידרש בית המשפט במלאכת הפרשנות</w:t>
      </w:r>
      <w:r w:rsidRPr="00093D69">
        <w:rPr>
          <w:rFonts w:ascii="David" w:hAnsi="David" w:cs="David"/>
          <w:sz w:val="24"/>
          <w:szCs w:val="24"/>
          <w:rtl/>
        </w:rPr>
        <w:t xml:space="preserve">: </w:t>
      </w:r>
    </w:p>
    <w:p w:rsidR="009B38A4" w:rsidRPr="00093D69" w:rsidRDefault="009B38A4" w:rsidP="009B38A4">
      <w:pPr>
        <w:pStyle w:val="ad"/>
        <w:rPr>
          <w:rFonts w:ascii="David" w:hAnsi="David" w:cs="David"/>
          <w:b/>
          <w:bCs/>
          <w:sz w:val="24"/>
          <w:szCs w:val="24"/>
        </w:rPr>
      </w:pPr>
    </w:p>
    <w:p w:rsidR="009B38A4" w:rsidRPr="00093D69" w:rsidRDefault="009B38A4" w:rsidP="009B38A4">
      <w:pPr>
        <w:pStyle w:val="ad"/>
        <w:numPr>
          <w:ilvl w:val="0"/>
          <w:numId w:val="3"/>
        </w:numPr>
        <w:spacing w:line="360" w:lineRule="auto"/>
        <w:ind w:right="-426"/>
        <w:jc w:val="both"/>
        <w:rPr>
          <w:rFonts w:ascii="David" w:hAnsi="David" w:cs="David"/>
          <w:b/>
          <w:bCs/>
          <w:sz w:val="24"/>
          <w:szCs w:val="24"/>
          <w:rtl/>
        </w:rPr>
      </w:pPr>
      <w:r w:rsidRPr="00093D69">
        <w:rPr>
          <w:rFonts w:ascii="David" w:hAnsi="David" w:cs="David"/>
          <w:b/>
          <w:bCs/>
          <w:sz w:val="24"/>
          <w:szCs w:val="24"/>
          <w:rtl/>
        </w:rPr>
        <w:t>יש להפעיל פרשנות דווקנית ומצמצמת –</w:t>
      </w:r>
      <w:r w:rsidRPr="00093D69">
        <w:rPr>
          <w:rFonts w:ascii="David" w:hAnsi="David" w:cs="David"/>
          <w:sz w:val="24"/>
          <w:szCs w:val="24"/>
          <w:rtl/>
        </w:rPr>
        <w:t xml:space="preserve"> שאחרת תרוקן מתוכן תכלית האמנה (ר', למשל, ע"א 4391/96 </w:t>
      </w:r>
      <w:r w:rsidRPr="00093D69">
        <w:rPr>
          <w:rFonts w:ascii="David" w:hAnsi="David" w:cs="David"/>
          <w:b/>
          <w:bCs/>
          <w:sz w:val="24"/>
          <w:szCs w:val="24"/>
          <w:rtl/>
        </w:rPr>
        <w:t xml:space="preserve">אדם פול </w:t>
      </w:r>
      <w:proofErr w:type="spellStart"/>
      <w:r w:rsidRPr="00093D69">
        <w:rPr>
          <w:rFonts w:ascii="David" w:hAnsi="David" w:cs="David"/>
          <w:b/>
          <w:bCs/>
          <w:sz w:val="24"/>
          <w:szCs w:val="24"/>
          <w:rtl/>
        </w:rPr>
        <w:t>רו</w:t>
      </w:r>
      <w:proofErr w:type="spellEnd"/>
      <w:r w:rsidRPr="00093D69">
        <w:rPr>
          <w:rFonts w:ascii="David" w:hAnsi="David" w:cs="David"/>
          <w:b/>
          <w:bCs/>
          <w:sz w:val="24"/>
          <w:szCs w:val="24"/>
          <w:rtl/>
        </w:rPr>
        <w:t xml:space="preserve"> נ' דפנה </w:t>
      </w:r>
      <w:proofErr w:type="spellStart"/>
      <w:r w:rsidRPr="00093D69">
        <w:rPr>
          <w:rFonts w:ascii="David" w:hAnsi="David" w:cs="David"/>
          <w:b/>
          <w:bCs/>
          <w:sz w:val="24"/>
          <w:szCs w:val="24"/>
          <w:rtl/>
        </w:rPr>
        <w:t>רו</w:t>
      </w:r>
      <w:proofErr w:type="spellEnd"/>
      <w:r w:rsidRPr="00093D69">
        <w:rPr>
          <w:rFonts w:ascii="David" w:hAnsi="David" w:cs="David"/>
          <w:b/>
          <w:bCs/>
          <w:sz w:val="24"/>
          <w:szCs w:val="24"/>
          <w:rtl/>
        </w:rPr>
        <w:t xml:space="preserve"> (יעקובוביץ')</w:t>
      </w:r>
      <w:r w:rsidRPr="00093D69">
        <w:rPr>
          <w:rFonts w:ascii="David" w:hAnsi="David" w:cs="David"/>
          <w:sz w:val="24"/>
          <w:szCs w:val="24"/>
          <w:rtl/>
        </w:rPr>
        <w:t xml:space="preserve">, פ"ד נ(5) 338 (1997); להלן </w:t>
      </w:r>
      <w:r w:rsidRPr="00093D69">
        <w:rPr>
          <w:rFonts w:ascii="David" w:hAnsi="David" w:cs="David"/>
          <w:b/>
          <w:bCs/>
          <w:sz w:val="24"/>
          <w:szCs w:val="24"/>
          <w:rtl/>
        </w:rPr>
        <w:t xml:space="preserve">"פרשת </w:t>
      </w:r>
      <w:proofErr w:type="spellStart"/>
      <w:r w:rsidRPr="00093D69">
        <w:rPr>
          <w:rFonts w:ascii="David" w:hAnsi="David" w:cs="David"/>
          <w:b/>
          <w:bCs/>
          <w:sz w:val="24"/>
          <w:szCs w:val="24"/>
          <w:rtl/>
        </w:rPr>
        <w:t>רו</w:t>
      </w:r>
      <w:proofErr w:type="spellEnd"/>
      <w:r w:rsidRPr="00093D69">
        <w:rPr>
          <w:rFonts w:ascii="David" w:hAnsi="David" w:cs="David"/>
          <w:b/>
          <w:bCs/>
          <w:sz w:val="24"/>
          <w:szCs w:val="24"/>
          <w:rtl/>
        </w:rPr>
        <w:t>"</w:t>
      </w:r>
      <w:r w:rsidRPr="00093D69">
        <w:rPr>
          <w:rFonts w:ascii="David" w:hAnsi="David" w:cs="David"/>
          <w:sz w:val="24"/>
          <w:szCs w:val="24"/>
          <w:rtl/>
        </w:rPr>
        <w:t>).</w:t>
      </w:r>
    </w:p>
    <w:p w:rsidR="009B38A4" w:rsidRPr="00093D69" w:rsidRDefault="009B38A4" w:rsidP="009B38A4">
      <w:pPr>
        <w:pStyle w:val="ad"/>
        <w:spacing w:line="360" w:lineRule="auto"/>
        <w:jc w:val="both"/>
        <w:rPr>
          <w:rFonts w:ascii="David" w:hAnsi="David" w:cs="David"/>
          <w:sz w:val="24"/>
          <w:szCs w:val="24"/>
        </w:rPr>
      </w:pPr>
    </w:p>
    <w:p w:rsidR="009B38A4" w:rsidRPr="00093D69" w:rsidRDefault="009B38A4" w:rsidP="009B38A4">
      <w:pPr>
        <w:pStyle w:val="ad"/>
        <w:numPr>
          <w:ilvl w:val="0"/>
          <w:numId w:val="3"/>
        </w:numPr>
        <w:spacing w:line="360" w:lineRule="auto"/>
        <w:ind w:right="-426"/>
        <w:jc w:val="both"/>
        <w:rPr>
          <w:rFonts w:ascii="David" w:hAnsi="David" w:cs="David"/>
          <w:sz w:val="24"/>
          <w:szCs w:val="24"/>
        </w:rPr>
      </w:pPr>
      <w:r w:rsidRPr="00093D69">
        <w:rPr>
          <w:rFonts w:ascii="David" w:hAnsi="David" w:cs="David"/>
          <w:b/>
          <w:bCs/>
          <w:sz w:val="24"/>
          <w:szCs w:val="24"/>
          <w:rtl/>
        </w:rPr>
        <w:lastRenderedPageBreak/>
        <w:t xml:space="preserve">נטל ההוכחה המוטל על הטוען לקיום החריג, כבד מאוד </w:t>
      </w:r>
      <w:r w:rsidRPr="00093D69">
        <w:rPr>
          <w:rFonts w:ascii="David" w:hAnsi="David" w:cs="David"/>
          <w:sz w:val="24"/>
          <w:szCs w:val="24"/>
          <w:rtl/>
        </w:rPr>
        <w:t xml:space="preserve">- נדרשת רמת הוכחה העומדת </w:t>
      </w:r>
      <w:r w:rsidRPr="00093D69">
        <w:rPr>
          <w:rFonts w:ascii="David" w:hAnsi="David" w:cs="David"/>
          <w:sz w:val="24"/>
          <w:szCs w:val="24"/>
          <w:u w:val="single"/>
          <w:rtl/>
        </w:rPr>
        <w:t>מעל לספק סביר</w:t>
      </w:r>
      <w:r w:rsidRPr="00093D69">
        <w:rPr>
          <w:rFonts w:ascii="David" w:hAnsi="David" w:cs="David"/>
          <w:sz w:val="24"/>
          <w:szCs w:val="24"/>
          <w:rtl/>
        </w:rPr>
        <w:t xml:space="preserve"> (ר', למשל</w:t>
      </w:r>
      <w:r w:rsidRPr="00093D69">
        <w:rPr>
          <w:rFonts w:ascii="David" w:hAnsi="David" w:cs="David"/>
          <w:b/>
          <w:bCs/>
          <w:sz w:val="24"/>
          <w:szCs w:val="24"/>
          <w:rtl/>
        </w:rPr>
        <w:t xml:space="preserve"> פרשת בע"מ 741/11</w:t>
      </w:r>
      <w:r w:rsidRPr="00093D69">
        <w:rPr>
          <w:rFonts w:ascii="David" w:hAnsi="David" w:cs="David"/>
          <w:sz w:val="24"/>
          <w:szCs w:val="24"/>
          <w:rtl/>
        </w:rPr>
        <w:t>, לעיל</w:t>
      </w:r>
      <w:r w:rsidRPr="00093D69">
        <w:rPr>
          <w:rFonts w:ascii="David" w:hAnsi="David" w:cs="David"/>
          <w:b/>
          <w:bCs/>
          <w:sz w:val="24"/>
          <w:szCs w:val="24"/>
          <w:rtl/>
        </w:rPr>
        <w:t xml:space="preserve">, </w:t>
      </w:r>
      <w:r w:rsidRPr="00093D69">
        <w:rPr>
          <w:rFonts w:ascii="David" w:hAnsi="David" w:cs="David"/>
          <w:sz w:val="24"/>
          <w:szCs w:val="24"/>
          <w:rtl/>
        </w:rPr>
        <w:t xml:space="preserve">סעיף 25 לפסה"ד של כב' השופטת ע' ארבל; בע"מ 1855/08 </w:t>
      </w:r>
      <w:r w:rsidRPr="00093D69">
        <w:rPr>
          <w:rFonts w:ascii="David" w:hAnsi="David" w:cs="David"/>
          <w:b/>
          <w:bCs/>
          <w:sz w:val="24"/>
          <w:szCs w:val="24"/>
          <w:rtl/>
        </w:rPr>
        <w:t xml:space="preserve">פלונית נ' פלוני </w:t>
      </w:r>
      <w:r w:rsidRPr="00093D69">
        <w:rPr>
          <w:rFonts w:ascii="David" w:hAnsi="David" w:cs="David"/>
          <w:sz w:val="24"/>
          <w:szCs w:val="24"/>
          <w:rtl/>
        </w:rPr>
        <w:t xml:space="preserve">(פורסם במאגרים האלקטרוניים) סעיפים 32-33 לפסה"ד של כב' השופטת א' </w:t>
      </w:r>
      <w:proofErr w:type="spellStart"/>
      <w:r w:rsidRPr="00093D69">
        <w:rPr>
          <w:rFonts w:ascii="David" w:hAnsi="David" w:cs="David"/>
          <w:sz w:val="24"/>
          <w:szCs w:val="24"/>
          <w:rtl/>
        </w:rPr>
        <w:t>פרוקצ'יה</w:t>
      </w:r>
      <w:proofErr w:type="spellEnd"/>
      <w:r w:rsidRPr="00093D69">
        <w:rPr>
          <w:rFonts w:ascii="David" w:hAnsi="David" w:cs="David"/>
          <w:sz w:val="24"/>
          <w:szCs w:val="24"/>
          <w:rtl/>
        </w:rPr>
        <w:t>).</w:t>
      </w:r>
    </w:p>
    <w:p w:rsidR="009B38A4" w:rsidRPr="00093D69" w:rsidRDefault="009B38A4" w:rsidP="00476EE6">
      <w:pPr>
        <w:pStyle w:val="ad"/>
        <w:jc w:val="both"/>
        <w:rPr>
          <w:rFonts w:ascii="David" w:hAnsi="David" w:cs="David"/>
          <w:sz w:val="24"/>
          <w:szCs w:val="24"/>
        </w:rPr>
      </w:pPr>
    </w:p>
    <w:p w:rsidR="009B38A4" w:rsidRPr="00093D69" w:rsidRDefault="009B38A4" w:rsidP="00476EE6">
      <w:pPr>
        <w:pStyle w:val="ad"/>
        <w:numPr>
          <w:ilvl w:val="0"/>
          <w:numId w:val="3"/>
        </w:numPr>
        <w:spacing w:line="360" w:lineRule="auto"/>
        <w:ind w:right="-426"/>
        <w:jc w:val="both"/>
        <w:rPr>
          <w:rFonts w:ascii="David" w:hAnsi="David" w:cs="David"/>
          <w:sz w:val="24"/>
          <w:szCs w:val="24"/>
          <w:rtl/>
        </w:rPr>
      </w:pPr>
      <w:r w:rsidRPr="00093D69">
        <w:rPr>
          <w:rFonts w:ascii="David" w:hAnsi="David" w:cs="David"/>
          <w:sz w:val="24"/>
          <w:szCs w:val="24"/>
          <w:rtl/>
        </w:rPr>
        <w:t xml:space="preserve">יש להוכיח </w:t>
      </w:r>
      <w:r w:rsidRPr="00093D69">
        <w:rPr>
          <w:rFonts w:ascii="David" w:hAnsi="David" w:cs="David"/>
          <w:b/>
          <w:bCs/>
          <w:sz w:val="24"/>
          <w:szCs w:val="24"/>
          <w:u w:val="single"/>
          <w:rtl/>
        </w:rPr>
        <w:t>קשר סיבתי</w:t>
      </w:r>
      <w:r w:rsidRPr="00093D69">
        <w:rPr>
          <w:rFonts w:ascii="David" w:hAnsi="David" w:cs="David"/>
          <w:sz w:val="24"/>
          <w:szCs w:val="24"/>
          <w:rtl/>
        </w:rPr>
        <w:t xml:space="preserve"> בין החזרת הקטין לבין הנזק הצפוי להיגרם לו; זאת כאשר הנזק אשר מכוחו לא יוחזרו קטינים הוא "</w:t>
      </w:r>
      <w:r w:rsidRPr="00093D69">
        <w:rPr>
          <w:rFonts w:ascii="David" w:hAnsi="David" w:cs="David"/>
          <w:b/>
          <w:bCs/>
          <w:sz w:val="24"/>
          <w:szCs w:val="24"/>
          <w:rtl/>
        </w:rPr>
        <w:t xml:space="preserve">רק במקום שעלולים הם לעמוד </w:t>
      </w:r>
      <w:r w:rsidRPr="00093D69">
        <w:rPr>
          <w:rFonts w:ascii="David" w:hAnsi="David" w:cs="David"/>
          <w:b/>
          <w:bCs/>
          <w:sz w:val="24"/>
          <w:szCs w:val="24"/>
          <w:u w:val="single"/>
          <w:rtl/>
        </w:rPr>
        <w:t>בסיכון חמור</w:t>
      </w:r>
      <w:r w:rsidRPr="00093D69">
        <w:rPr>
          <w:rFonts w:ascii="David" w:hAnsi="David" w:cs="David"/>
          <w:b/>
          <w:bCs/>
          <w:sz w:val="24"/>
          <w:szCs w:val="24"/>
          <w:rtl/>
        </w:rPr>
        <w:t xml:space="preserve"> (</w:t>
      </w:r>
      <w:r w:rsidRPr="00093D69">
        <w:rPr>
          <w:rFonts w:ascii="David" w:hAnsi="David" w:cs="David"/>
          <w:b/>
          <w:bCs/>
          <w:sz w:val="24"/>
          <w:szCs w:val="24"/>
        </w:rPr>
        <w:t>grave risk</w:t>
      </w:r>
      <w:r w:rsidRPr="00093D69">
        <w:rPr>
          <w:rFonts w:ascii="David" w:hAnsi="David" w:cs="David"/>
          <w:b/>
          <w:bCs/>
          <w:sz w:val="24"/>
          <w:szCs w:val="24"/>
          <w:rtl/>
        </w:rPr>
        <w:t xml:space="preserve">) או כאשר </w:t>
      </w:r>
      <w:r w:rsidRPr="00093D69">
        <w:rPr>
          <w:rFonts w:ascii="David" w:hAnsi="David" w:cs="David"/>
          <w:b/>
          <w:bCs/>
          <w:sz w:val="24"/>
          <w:szCs w:val="24"/>
          <w:u w:val="single"/>
          <w:rtl/>
        </w:rPr>
        <w:t>הסיכון הוא לנזק חמור בעל אופי מהותי</w:t>
      </w:r>
      <w:r w:rsidRPr="00093D69">
        <w:rPr>
          <w:rFonts w:ascii="David" w:hAnsi="David" w:cs="David"/>
          <w:b/>
          <w:bCs/>
          <w:sz w:val="24"/>
          <w:szCs w:val="24"/>
          <w:rtl/>
        </w:rPr>
        <w:t xml:space="preserve"> ("</w:t>
      </w:r>
      <w:r w:rsidRPr="00093D69">
        <w:rPr>
          <w:rFonts w:ascii="David" w:hAnsi="David" w:cs="David"/>
          <w:b/>
          <w:bCs/>
          <w:sz w:val="24"/>
          <w:szCs w:val="24"/>
        </w:rPr>
        <w:t>severe harm of substantial nature"</w:t>
      </w:r>
      <w:r w:rsidRPr="00093D69">
        <w:rPr>
          <w:rFonts w:ascii="David" w:hAnsi="David" w:cs="David"/>
          <w:b/>
          <w:bCs/>
          <w:sz w:val="24"/>
          <w:szCs w:val="24"/>
          <w:rtl/>
        </w:rPr>
        <w:t>)"</w:t>
      </w:r>
      <w:r w:rsidRPr="00093D69">
        <w:rPr>
          <w:rFonts w:ascii="David" w:hAnsi="David" w:cs="David"/>
          <w:sz w:val="24"/>
          <w:szCs w:val="24"/>
        </w:rPr>
        <w:t xml:space="preserve"> </w:t>
      </w:r>
      <w:r w:rsidRPr="00093D69">
        <w:rPr>
          <w:rFonts w:ascii="David" w:hAnsi="David" w:cs="David"/>
          <w:sz w:val="24"/>
          <w:szCs w:val="24"/>
          <w:rtl/>
        </w:rPr>
        <w:t xml:space="preserve">(ר' פרשת </w:t>
      </w:r>
      <w:proofErr w:type="spellStart"/>
      <w:r w:rsidRPr="00093D69">
        <w:rPr>
          <w:rFonts w:ascii="David" w:hAnsi="David" w:cs="David"/>
          <w:sz w:val="24"/>
          <w:szCs w:val="24"/>
          <w:rtl/>
        </w:rPr>
        <w:t>רו</w:t>
      </w:r>
      <w:proofErr w:type="spellEnd"/>
      <w:r w:rsidRPr="00093D69">
        <w:rPr>
          <w:rFonts w:ascii="David" w:hAnsi="David" w:cs="David"/>
          <w:sz w:val="24"/>
          <w:szCs w:val="24"/>
          <w:rtl/>
        </w:rPr>
        <w:t xml:space="preserve">, לעיל, בעמ' 347; כן ר' ע"א 5532/93 </w:t>
      </w:r>
      <w:r w:rsidRPr="00093D69">
        <w:rPr>
          <w:rFonts w:ascii="David" w:hAnsi="David" w:cs="David"/>
          <w:b/>
          <w:bCs/>
          <w:sz w:val="24"/>
          <w:szCs w:val="24"/>
          <w:rtl/>
        </w:rPr>
        <w:t xml:space="preserve">דוד </w:t>
      </w:r>
      <w:proofErr w:type="spellStart"/>
      <w:r w:rsidRPr="00093D69">
        <w:rPr>
          <w:rFonts w:ascii="David" w:hAnsi="David" w:cs="David"/>
          <w:b/>
          <w:bCs/>
          <w:sz w:val="24"/>
          <w:szCs w:val="24"/>
          <w:rtl/>
        </w:rPr>
        <w:t>גונזבורג</w:t>
      </w:r>
      <w:proofErr w:type="spellEnd"/>
      <w:r w:rsidRPr="00093D69">
        <w:rPr>
          <w:rFonts w:ascii="David" w:hAnsi="David" w:cs="David"/>
          <w:b/>
          <w:bCs/>
          <w:sz w:val="24"/>
          <w:szCs w:val="24"/>
          <w:rtl/>
        </w:rPr>
        <w:t xml:space="preserve"> נ' אלנה </w:t>
      </w:r>
      <w:proofErr w:type="spellStart"/>
      <w:r w:rsidRPr="00093D69">
        <w:rPr>
          <w:rFonts w:ascii="David" w:hAnsi="David" w:cs="David"/>
          <w:b/>
          <w:bCs/>
          <w:sz w:val="24"/>
          <w:szCs w:val="24"/>
          <w:rtl/>
        </w:rPr>
        <w:t>גייל</w:t>
      </w:r>
      <w:proofErr w:type="spellEnd"/>
      <w:r w:rsidRPr="00093D69">
        <w:rPr>
          <w:rFonts w:ascii="David" w:hAnsi="David" w:cs="David"/>
          <w:b/>
          <w:bCs/>
          <w:sz w:val="24"/>
          <w:szCs w:val="24"/>
          <w:rtl/>
        </w:rPr>
        <w:t xml:space="preserve"> </w:t>
      </w:r>
      <w:proofErr w:type="spellStart"/>
      <w:r w:rsidRPr="00093D69">
        <w:rPr>
          <w:rFonts w:ascii="David" w:hAnsi="David" w:cs="David"/>
          <w:b/>
          <w:bCs/>
          <w:sz w:val="24"/>
          <w:szCs w:val="24"/>
          <w:rtl/>
        </w:rPr>
        <w:t>גרינוולד</w:t>
      </w:r>
      <w:proofErr w:type="spellEnd"/>
      <w:r w:rsidRPr="00093D69">
        <w:rPr>
          <w:rFonts w:ascii="David" w:hAnsi="David" w:cs="David"/>
          <w:b/>
          <w:bCs/>
          <w:sz w:val="24"/>
          <w:szCs w:val="24"/>
          <w:rtl/>
        </w:rPr>
        <w:t xml:space="preserve">, </w:t>
      </w:r>
      <w:r w:rsidRPr="00093D69">
        <w:rPr>
          <w:rFonts w:ascii="David" w:hAnsi="David" w:cs="David"/>
          <w:sz w:val="24"/>
          <w:szCs w:val="24"/>
          <w:rtl/>
        </w:rPr>
        <w:t>פ"ד מט(3) 282, 297-295)</w:t>
      </w:r>
    </w:p>
    <w:p w:rsidR="009B38A4" w:rsidRPr="00093D69" w:rsidRDefault="009B38A4" w:rsidP="009B38A4">
      <w:pPr>
        <w:pStyle w:val="ad"/>
        <w:jc w:val="both"/>
        <w:rPr>
          <w:rFonts w:ascii="David" w:hAnsi="David" w:cs="David"/>
          <w:sz w:val="24"/>
          <w:szCs w:val="24"/>
        </w:rPr>
      </w:pPr>
    </w:p>
    <w:p w:rsidR="009B38A4" w:rsidRPr="00093D69" w:rsidRDefault="009B38A4" w:rsidP="009B38A4">
      <w:pPr>
        <w:pStyle w:val="ad"/>
        <w:numPr>
          <w:ilvl w:val="0"/>
          <w:numId w:val="3"/>
        </w:numPr>
        <w:spacing w:line="360" w:lineRule="auto"/>
        <w:ind w:right="-426"/>
        <w:jc w:val="both"/>
        <w:rPr>
          <w:rFonts w:ascii="David" w:hAnsi="David" w:cs="David"/>
          <w:rtl/>
        </w:rPr>
      </w:pPr>
      <w:r w:rsidRPr="00093D69">
        <w:rPr>
          <w:rFonts w:ascii="David" w:hAnsi="David" w:cs="David"/>
          <w:b/>
          <w:bCs/>
          <w:sz w:val="24"/>
          <w:szCs w:val="24"/>
          <w:rtl/>
        </w:rPr>
        <w:t xml:space="preserve">הנזק המצריך הוכחה הוא זה הנובע מהשבת הקטין </w:t>
      </w:r>
      <w:r w:rsidRPr="00093D69">
        <w:rPr>
          <w:rFonts w:ascii="David" w:hAnsi="David" w:cs="David"/>
          <w:b/>
          <w:bCs/>
          <w:sz w:val="24"/>
          <w:szCs w:val="24"/>
          <w:u w:val="single"/>
          <w:rtl/>
        </w:rPr>
        <w:t>למדינת המוצא</w:t>
      </w:r>
      <w:r w:rsidRPr="00093D69">
        <w:rPr>
          <w:rFonts w:ascii="David" w:hAnsi="David" w:cs="David"/>
          <w:b/>
          <w:bCs/>
          <w:sz w:val="24"/>
          <w:szCs w:val="24"/>
          <w:rtl/>
        </w:rPr>
        <w:t xml:space="preserve">, ולא מפאת השבתו </w:t>
      </w:r>
      <w:r w:rsidRPr="00093D69">
        <w:rPr>
          <w:rFonts w:ascii="David" w:hAnsi="David" w:cs="David"/>
          <w:b/>
          <w:bCs/>
          <w:sz w:val="24"/>
          <w:szCs w:val="24"/>
          <w:u w:val="single"/>
          <w:rtl/>
        </w:rPr>
        <w:t>להורה שבמדינת המוצא</w:t>
      </w:r>
      <w:r w:rsidRPr="00093D69">
        <w:rPr>
          <w:rFonts w:ascii="David" w:hAnsi="David" w:cs="David"/>
          <w:b/>
          <w:bCs/>
          <w:sz w:val="24"/>
          <w:szCs w:val="24"/>
          <w:rtl/>
        </w:rPr>
        <w:t xml:space="preserve"> – </w:t>
      </w:r>
      <w:r w:rsidRPr="00093D69">
        <w:rPr>
          <w:rFonts w:ascii="David" w:hAnsi="David" w:cs="David"/>
          <w:sz w:val="24"/>
          <w:szCs w:val="24"/>
          <w:rtl/>
        </w:rPr>
        <w:t xml:space="preserve">זוהי </w:t>
      </w:r>
      <w:r w:rsidRPr="00093D69">
        <w:rPr>
          <w:rFonts w:ascii="David" w:hAnsi="David" w:cs="David"/>
          <w:sz w:val="24"/>
          <w:szCs w:val="24"/>
          <w:u w:val="single"/>
          <w:rtl/>
        </w:rPr>
        <w:t>אבחנה מבדלת חשובה,</w:t>
      </w:r>
      <w:r w:rsidRPr="00093D69">
        <w:rPr>
          <w:rFonts w:ascii="David" w:hAnsi="David" w:cs="David"/>
          <w:sz w:val="24"/>
          <w:szCs w:val="24"/>
          <w:rtl/>
        </w:rPr>
        <w:t xml:space="preserve"> המשרטטת נכוחה את</w:t>
      </w:r>
      <w:r w:rsidRPr="00093D69">
        <w:rPr>
          <w:rFonts w:ascii="David" w:hAnsi="David" w:cs="David"/>
          <w:sz w:val="24"/>
          <w:szCs w:val="24"/>
          <w:u w:val="single"/>
          <w:rtl/>
        </w:rPr>
        <w:t xml:space="preserve"> גבולות הגזרה של הליך עפ"י האמנה, בשונה מהליך בדבר קביעת משמורת </w:t>
      </w:r>
      <w:r w:rsidRPr="00093D69">
        <w:rPr>
          <w:rFonts w:ascii="David" w:hAnsi="David" w:cs="David"/>
          <w:sz w:val="24"/>
          <w:szCs w:val="24"/>
          <w:rtl/>
        </w:rPr>
        <w:t xml:space="preserve">(ר', למשל, פרשת טורנה, לעיל, בעמ' 46;  </w:t>
      </w:r>
      <w:r w:rsidRPr="00093D69">
        <w:rPr>
          <w:rFonts w:ascii="David" w:hAnsi="David" w:cs="David"/>
          <w:b/>
          <w:bCs/>
          <w:sz w:val="24"/>
          <w:szCs w:val="24"/>
          <w:rtl/>
        </w:rPr>
        <w:t>פרשת בע"מ 741/11</w:t>
      </w:r>
      <w:r w:rsidRPr="00093D69">
        <w:rPr>
          <w:rFonts w:ascii="David" w:hAnsi="David" w:cs="David"/>
          <w:sz w:val="24"/>
          <w:szCs w:val="24"/>
          <w:rtl/>
        </w:rPr>
        <w:t>, לעיל</w:t>
      </w:r>
      <w:r w:rsidRPr="00093D69">
        <w:rPr>
          <w:rFonts w:ascii="David" w:hAnsi="David" w:cs="David"/>
          <w:b/>
          <w:bCs/>
          <w:sz w:val="24"/>
          <w:szCs w:val="24"/>
          <w:rtl/>
        </w:rPr>
        <w:t xml:space="preserve">, </w:t>
      </w:r>
      <w:r w:rsidRPr="00093D69">
        <w:rPr>
          <w:rFonts w:ascii="David" w:hAnsi="David" w:cs="David"/>
          <w:sz w:val="24"/>
          <w:szCs w:val="24"/>
          <w:rtl/>
        </w:rPr>
        <w:t xml:space="preserve">סעיף 25 לפסה"ד של כב' השופטת ע' ארבל); אבחנה אשר לאורה מקבלות טענות כגון העדר מסוגלות הורית ואף טענות בדבר אלימות או אלכוהוליזם לא היוו הצדקה לאי השבת קטינים, זאת כאמור בהינתן המתחם הנורמטיבי במסגרתו ניתנת הכרעת בית המשפט בהתאם לאמנה; אשר בגדרו אין ביהמ"ש  רשאי לשקול בידי מי ראוי שתופקד המשמורת על הקטינים (ר' פרשת </w:t>
      </w:r>
      <w:proofErr w:type="spellStart"/>
      <w:r w:rsidRPr="00093D69">
        <w:rPr>
          <w:rFonts w:ascii="David" w:hAnsi="David" w:cs="David"/>
          <w:sz w:val="24"/>
          <w:szCs w:val="24"/>
          <w:rtl/>
        </w:rPr>
        <w:t>רו</w:t>
      </w:r>
      <w:proofErr w:type="spellEnd"/>
      <w:r w:rsidRPr="00093D69">
        <w:rPr>
          <w:rFonts w:ascii="David" w:hAnsi="David" w:cs="David"/>
          <w:sz w:val="24"/>
          <w:szCs w:val="24"/>
          <w:rtl/>
        </w:rPr>
        <w:t xml:space="preserve">, לעיל;  כן ר' לעניין זה אף הדגשים המופיעים בפסה"ד של כב' השופט נ' סילמן </w:t>
      </w:r>
      <w:proofErr w:type="spellStart"/>
      <w:r w:rsidRPr="00093D69">
        <w:rPr>
          <w:rFonts w:ascii="David" w:hAnsi="David" w:cs="David"/>
          <w:sz w:val="24"/>
          <w:szCs w:val="24"/>
          <w:rtl/>
        </w:rPr>
        <w:t>ב</w:t>
      </w:r>
      <w:r w:rsidRPr="00093D69">
        <w:rPr>
          <w:rFonts w:ascii="David" w:hAnsi="David" w:cs="David"/>
          <w:b/>
          <w:bCs/>
          <w:sz w:val="24"/>
          <w:szCs w:val="24"/>
          <w:rtl/>
        </w:rPr>
        <w:t>עמ"ש</w:t>
      </w:r>
      <w:proofErr w:type="spellEnd"/>
      <w:r w:rsidRPr="00093D69">
        <w:rPr>
          <w:rFonts w:ascii="David" w:hAnsi="David" w:cs="David"/>
          <w:b/>
          <w:bCs/>
          <w:sz w:val="24"/>
          <w:szCs w:val="24"/>
          <w:rtl/>
        </w:rPr>
        <w:t xml:space="preserve"> חיפה 2023 (לעיל</w:t>
      </w:r>
      <w:r w:rsidRPr="00093D69">
        <w:rPr>
          <w:rFonts w:ascii="David" w:hAnsi="David" w:cs="David"/>
          <w:sz w:val="24"/>
          <w:szCs w:val="24"/>
          <w:rtl/>
        </w:rPr>
        <w:t>), שם בעמ' 35-27 לפסה"ד, כמו גם נסיבותיו של אותו פסק-דין).</w:t>
      </w:r>
    </w:p>
    <w:p w:rsidR="009B38A4" w:rsidRPr="00093D69" w:rsidRDefault="009B38A4" w:rsidP="009B38A4">
      <w:pPr>
        <w:pStyle w:val="ad"/>
        <w:jc w:val="both"/>
        <w:rPr>
          <w:rFonts w:ascii="David" w:hAnsi="David" w:cs="David"/>
          <w:sz w:val="24"/>
          <w:szCs w:val="24"/>
          <w:rtl/>
        </w:rPr>
      </w:pPr>
    </w:p>
    <w:p w:rsidR="009B38A4" w:rsidRPr="00093D69" w:rsidRDefault="009B38A4" w:rsidP="009B38A4">
      <w:pPr>
        <w:pStyle w:val="ad"/>
        <w:numPr>
          <w:ilvl w:val="0"/>
          <w:numId w:val="3"/>
        </w:numPr>
        <w:spacing w:line="360" w:lineRule="auto"/>
        <w:ind w:right="-426"/>
        <w:jc w:val="both"/>
        <w:rPr>
          <w:rFonts w:ascii="David" w:hAnsi="David" w:cs="David"/>
          <w:b/>
          <w:bCs/>
          <w:sz w:val="24"/>
          <w:szCs w:val="24"/>
          <w:rtl/>
        </w:rPr>
      </w:pPr>
      <w:r w:rsidRPr="00093D69">
        <w:rPr>
          <w:rFonts w:ascii="David" w:hAnsi="David" w:cs="David"/>
          <w:b/>
          <w:bCs/>
          <w:sz w:val="24"/>
          <w:szCs w:val="24"/>
          <w:rtl/>
        </w:rPr>
        <w:lastRenderedPageBreak/>
        <w:t>ספק בקיומו של החריג יוביל להשבת הקטין</w:t>
      </w:r>
      <w:r w:rsidRPr="00093D69">
        <w:rPr>
          <w:rFonts w:ascii="David" w:hAnsi="David" w:cs="David"/>
          <w:sz w:val="24"/>
          <w:szCs w:val="24"/>
          <w:rtl/>
        </w:rPr>
        <w:t xml:space="preserve"> (ר', למשל, פרשת </w:t>
      </w:r>
      <w:r w:rsidRPr="00093D69">
        <w:rPr>
          <w:rFonts w:ascii="David" w:hAnsi="David" w:cs="David"/>
          <w:b/>
          <w:bCs/>
          <w:sz w:val="24"/>
          <w:szCs w:val="24"/>
          <w:rtl/>
        </w:rPr>
        <w:t xml:space="preserve"> "פרשת </w:t>
      </w:r>
      <w:proofErr w:type="spellStart"/>
      <w:r w:rsidRPr="00093D69">
        <w:rPr>
          <w:rFonts w:ascii="David" w:hAnsi="David" w:cs="David"/>
          <w:b/>
          <w:bCs/>
          <w:sz w:val="24"/>
          <w:szCs w:val="24"/>
          <w:rtl/>
        </w:rPr>
        <w:t>לויד</w:t>
      </w:r>
      <w:proofErr w:type="spellEnd"/>
      <w:r w:rsidRPr="00093D69">
        <w:rPr>
          <w:rFonts w:ascii="David" w:hAnsi="David" w:cs="David"/>
          <w:b/>
          <w:bCs/>
          <w:sz w:val="24"/>
          <w:szCs w:val="24"/>
          <w:rtl/>
        </w:rPr>
        <w:t xml:space="preserve"> </w:t>
      </w:r>
      <w:proofErr w:type="spellStart"/>
      <w:r w:rsidRPr="00093D69">
        <w:rPr>
          <w:rFonts w:ascii="David" w:hAnsi="David" w:cs="David"/>
          <w:b/>
          <w:bCs/>
          <w:sz w:val="24"/>
          <w:szCs w:val="24"/>
          <w:rtl/>
        </w:rPr>
        <w:t>סטגמן</w:t>
      </w:r>
      <w:proofErr w:type="spellEnd"/>
      <w:r w:rsidRPr="00093D69">
        <w:rPr>
          <w:rFonts w:ascii="David" w:hAnsi="David" w:cs="David"/>
          <w:b/>
          <w:bCs/>
          <w:sz w:val="24"/>
          <w:szCs w:val="24"/>
          <w:rtl/>
        </w:rPr>
        <w:t xml:space="preserve"> </w:t>
      </w:r>
      <w:r w:rsidRPr="00093D69">
        <w:rPr>
          <w:rFonts w:ascii="David" w:hAnsi="David" w:cs="David"/>
          <w:sz w:val="24"/>
          <w:szCs w:val="24"/>
          <w:rtl/>
        </w:rPr>
        <w:t>(לעיל) בעמ' 438</w:t>
      </w:r>
      <w:r w:rsidRPr="00093D69">
        <w:rPr>
          <w:rFonts w:ascii="David" w:hAnsi="David" w:cs="David"/>
          <w:b/>
          <w:bCs/>
          <w:sz w:val="24"/>
          <w:szCs w:val="24"/>
          <w:rtl/>
        </w:rPr>
        <w:t xml:space="preserve">; פרשת </w:t>
      </w:r>
      <w:proofErr w:type="spellStart"/>
      <w:r w:rsidRPr="00093D69">
        <w:rPr>
          <w:rFonts w:ascii="David" w:hAnsi="David" w:cs="David"/>
          <w:b/>
          <w:bCs/>
          <w:sz w:val="24"/>
          <w:szCs w:val="24"/>
          <w:rtl/>
        </w:rPr>
        <w:t>רו</w:t>
      </w:r>
      <w:proofErr w:type="spellEnd"/>
      <w:r w:rsidRPr="00093D69">
        <w:rPr>
          <w:rFonts w:ascii="David" w:hAnsi="David" w:cs="David"/>
          <w:b/>
          <w:bCs/>
          <w:sz w:val="24"/>
          <w:szCs w:val="24"/>
          <w:rtl/>
        </w:rPr>
        <w:t xml:space="preserve">, </w:t>
      </w:r>
      <w:r w:rsidRPr="00093D69">
        <w:rPr>
          <w:rFonts w:ascii="David" w:hAnsi="David" w:cs="David"/>
          <w:sz w:val="24"/>
          <w:szCs w:val="24"/>
          <w:rtl/>
        </w:rPr>
        <w:t>לעיל, בעמ' 346; בע"מ 1855/08, לעיל, סעיף 33).</w:t>
      </w:r>
    </w:p>
    <w:p w:rsidR="009B38A4" w:rsidRDefault="009B38A4" w:rsidP="009B38A4">
      <w:pPr>
        <w:pStyle w:val="2"/>
        <w:spacing w:line="360" w:lineRule="auto"/>
        <w:ind w:left="360"/>
        <w:jc w:val="both"/>
        <w:rPr>
          <w:rFonts w:ascii="David" w:hAnsi="David"/>
          <w:b/>
          <w:bCs/>
          <w:u w:val="single"/>
          <w:rtl/>
        </w:rPr>
      </w:pPr>
      <w:r w:rsidRPr="00093D69">
        <w:rPr>
          <w:rFonts w:ascii="David" w:hAnsi="David"/>
          <w:b/>
          <w:bCs/>
          <w:u w:val="single"/>
          <w:rtl/>
        </w:rPr>
        <w:t>וליישום בנסיבותינו</w:t>
      </w:r>
    </w:p>
    <w:p w:rsidR="00093D69" w:rsidRPr="00E313A0" w:rsidRDefault="00093D69" w:rsidP="009B38A4">
      <w:pPr>
        <w:pStyle w:val="2"/>
        <w:spacing w:line="360" w:lineRule="auto"/>
        <w:ind w:left="360"/>
        <w:jc w:val="both"/>
        <w:rPr>
          <w:rFonts w:ascii="David" w:hAnsi="David"/>
          <w:b/>
          <w:bCs/>
          <w:sz w:val="10"/>
          <w:szCs w:val="10"/>
          <w:u w:val="single"/>
          <w:rtl/>
        </w:rPr>
      </w:pPr>
    </w:p>
    <w:p w:rsidR="009B38A4" w:rsidRPr="00093D69" w:rsidRDefault="009B38A4" w:rsidP="00234528">
      <w:pPr>
        <w:pStyle w:val="2"/>
        <w:spacing w:line="360" w:lineRule="auto"/>
        <w:ind w:left="360" w:firstLine="360"/>
        <w:jc w:val="both"/>
        <w:rPr>
          <w:rFonts w:ascii="David" w:hAnsi="David"/>
          <w:b/>
          <w:bCs/>
          <w:u w:val="single"/>
          <w:rtl/>
        </w:rPr>
      </w:pPr>
      <w:r w:rsidRPr="00093D69">
        <w:rPr>
          <w:rFonts w:ascii="David" w:hAnsi="David"/>
          <w:b/>
          <w:bCs/>
          <w:u w:val="single"/>
          <w:rtl/>
        </w:rPr>
        <w:t>מקום המגורים של הקטינה בארה"ב</w:t>
      </w:r>
    </w:p>
    <w:p w:rsidR="009B38A4" w:rsidRPr="00093D69" w:rsidRDefault="009B38A4" w:rsidP="00D63326">
      <w:pPr>
        <w:pStyle w:val="2"/>
        <w:numPr>
          <w:ilvl w:val="0"/>
          <w:numId w:val="1"/>
        </w:numPr>
        <w:spacing w:line="360" w:lineRule="auto"/>
        <w:jc w:val="both"/>
        <w:rPr>
          <w:rFonts w:ascii="David" w:hAnsi="David"/>
        </w:rPr>
      </w:pPr>
      <w:r w:rsidRPr="00093D69">
        <w:rPr>
          <w:rFonts w:ascii="David" w:hAnsi="David"/>
          <w:u w:val="single"/>
          <w:rtl/>
        </w:rPr>
        <w:t>סבורתני, כי אין ולא יכול להיות חולק בדבר היות ארה"ב מקום מגוריה הרגיל של הקטינה</w:t>
      </w:r>
      <w:r w:rsidRPr="00093D69">
        <w:rPr>
          <w:rFonts w:ascii="David" w:hAnsi="David"/>
          <w:rtl/>
        </w:rPr>
        <w:t xml:space="preserve">, זאת בראי המבחן העובדתי הטהור הקבוע בפסיקה (לעיל), ובשעה שהעובדות שאינן במחלוקת מדברות בעד עצמן ומובילות למסקנה זו: התובע גר מאז גיל </w:t>
      </w:r>
      <w:r w:rsidR="00D63326">
        <w:rPr>
          <w:rFonts w:ascii="David" w:hAnsi="David" w:hint="cs"/>
          <w:rtl/>
        </w:rPr>
        <w:t>--</w:t>
      </w:r>
      <w:r w:rsidRPr="00093D69">
        <w:rPr>
          <w:rFonts w:ascii="David" w:hAnsi="David"/>
          <w:rtl/>
        </w:rPr>
        <w:t xml:space="preserve"> בארצות הברית שם נישא ושם נולדו ומתגוררים ילדיו הבגירים כמו גם נכדיו; לאחר הכרות הצדדים, עברה הנתבעת להתגורר עמו בארה"ב; הצדדים נישאו בארה"ב, הנתבעת פעלה שם להוצאת רשיון </w:t>
      </w:r>
      <w:r w:rsidR="00620BBE" w:rsidRPr="00093D69">
        <w:rPr>
          <w:rFonts w:ascii="David" w:hAnsi="David"/>
        </w:rPr>
        <w:t>xx</w:t>
      </w:r>
      <w:r w:rsidRPr="00093D69">
        <w:rPr>
          <w:rFonts w:ascii="David" w:hAnsi="David"/>
          <w:rtl/>
        </w:rPr>
        <w:t xml:space="preserve"> אמריקאי לצרכי תעסוקה; הנתבעת אף קיבלה אזרחות אמריקאית במרוצת זמן מגוריה שם; והקטינה אשר נולדה בעקבות טיפולי פוריות שנערכו בארה"ב, נושאת אזרחות אמריקאית בלבד; כאשר אין מחלוקת, כי ממועד הולדתה ועד למועד עלייתה עם אמה למטוס לישראל, היא התגוררה בארצות הברית ושם בלבד.</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ואם בכך לא די, אז העובדה, כי הנתבעת מיוזמתה הגישה לבית המשפט דכאן </w:t>
      </w:r>
      <w:r w:rsidRPr="00093D69">
        <w:rPr>
          <w:rFonts w:ascii="David" w:hAnsi="David"/>
          <w:u w:val="single"/>
          <w:rtl/>
        </w:rPr>
        <w:t>תביעת הגירה</w:t>
      </w:r>
      <w:r w:rsidRPr="00093D69">
        <w:rPr>
          <w:rFonts w:ascii="David" w:hAnsi="David"/>
          <w:rtl/>
        </w:rPr>
        <w:t xml:space="preserve">, </w:t>
      </w:r>
      <w:r w:rsidRPr="00093D69">
        <w:rPr>
          <w:rFonts w:ascii="David" w:hAnsi="David"/>
          <w:u w:val="single"/>
          <w:rtl/>
        </w:rPr>
        <w:t xml:space="preserve">בה עתרה לקבלת צו </w:t>
      </w:r>
      <w:r w:rsidRPr="00093D69">
        <w:rPr>
          <w:rFonts w:ascii="David" w:hAnsi="David"/>
          <w:b/>
          <w:bCs/>
          <w:u w:val="single"/>
          <w:rtl/>
        </w:rPr>
        <w:t>המאשר את הגירתה והגירת הקטינה לישראל</w:t>
      </w:r>
      <w:r w:rsidRPr="00093D69">
        <w:rPr>
          <w:rFonts w:ascii="David" w:hAnsi="David"/>
          <w:rtl/>
        </w:rPr>
        <w:t>, אינה מותירה מקום לספק.</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בהקשר זה אוסיף, כי </w:t>
      </w:r>
      <w:r w:rsidRPr="00093D69">
        <w:rPr>
          <w:rFonts w:ascii="David" w:hAnsi="David"/>
          <w:i/>
          <w:iCs/>
          <w:rtl/>
        </w:rPr>
        <w:t>לא נעלמו מעיני טענות הנתבעת בדבר העדר מקום מגורים קבוע במהלך מגוריהם בארה"ב</w:t>
      </w:r>
      <w:r w:rsidRPr="00093D69">
        <w:rPr>
          <w:rFonts w:ascii="David" w:hAnsi="David"/>
          <w:rtl/>
        </w:rPr>
        <w:t xml:space="preserve">; בין היתר, בשל העובדה, כי הצדדים פעלו להעתקת מקום מגוריהם מספר פעמים, החל ממקום מגוריהם אצל אמו של הנתבע, דרך בתי מלון וכלה </w:t>
      </w:r>
      <w:r w:rsidRPr="00093D69">
        <w:rPr>
          <w:rFonts w:ascii="David" w:hAnsi="David"/>
          <w:rtl/>
        </w:rPr>
        <w:lastRenderedPageBreak/>
        <w:t>במספר בתים שכורים (למשל בס' 22, 26 לתשובתה לתביעה); ברם סבורתני, כי טענות מסוג זה אין בהן כדי לאיין קביעתו של מקום מגורים "רגיל" של קטין במובן האמנה</w:t>
      </w:r>
      <w:r w:rsidRPr="00093D69">
        <w:rPr>
          <w:rFonts w:ascii="David" w:hAnsi="David"/>
          <w:sz w:val="22"/>
          <w:szCs w:val="22"/>
          <w:rtl/>
          <w:lang w:eastAsia="he-IL"/>
        </w:rPr>
        <w:t xml:space="preserve"> </w:t>
      </w:r>
      <w:r w:rsidRPr="00093D69">
        <w:rPr>
          <w:rFonts w:ascii="David" w:hAnsi="David"/>
          <w:sz w:val="22"/>
          <w:szCs w:val="22"/>
          <w:lang w:eastAsia="he-IL"/>
        </w:rPr>
        <w:t>Habitual Residence)</w:t>
      </w:r>
      <w:r w:rsidRPr="00093D69">
        <w:rPr>
          <w:rFonts w:ascii="David" w:hAnsi="David"/>
          <w:sz w:val="22"/>
          <w:szCs w:val="22"/>
          <w:rtl/>
          <w:lang w:eastAsia="he-IL"/>
        </w:rPr>
        <w:t>)</w:t>
      </w:r>
      <w:r w:rsidRPr="00093D69">
        <w:rPr>
          <w:rFonts w:ascii="David" w:hAnsi="David"/>
          <w:sz w:val="22"/>
          <w:szCs w:val="22"/>
          <w:rtl/>
        </w:rPr>
        <w:t xml:space="preserve">; </w:t>
      </w:r>
      <w:r w:rsidRPr="00093D69">
        <w:rPr>
          <w:rFonts w:ascii="David" w:hAnsi="David"/>
          <w:rtl/>
        </w:rPr>
        <w:t>ולמצער בראי מכלול הנסיבות שלפניי; זאת תוך שאין בכך כדי להתעלם מטענותיה, שדומה כי יש מקום לשקללן בזיקה לסוגיות אחרות הנדרשות בגדרי הליך זה, כפי שיפורט להלן.</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משנקבע כי מקום מגורי הקטינה בארה"ב, יש להדרש עתה לשאלת הרחקה כדין אם לאו.</w:t>
      </w:r>
    </w:p>
    <w:p w:rsidR="009B38A4" w:rsidRPr="00093D69" w:rsidRDefault="009B38A4" w:rsidP="009B38A4">
      <w:pPr>
        <w:pStyle w:val="2"/>
        <w:spacing w:line="360" w:lineRule="auto"/>
        <w:ind w:left="360"/>
        <w:jc w:val="both"/>
        <w:rPr>
          <w:rFonts w:ascii="David" w:hAnsi="David"/>
          <w:b/>
          <w:bCs/>
          <w:u w:val="single"/>
          <w:rtl/>
        </w:rPr>
      </w:pPr>
    </w:p>
    <w:p w:rsidR="009B38A4" w:rsidRPr="00093D69" w:rsidRDefault="009B38A4" w:rsidP="009B38A4">
      <w:pPr>
        <w:pStyle w:val="2"/>
        <w:spacing w:line="360" w:lineRule="auto"/>
        <w:ind w:left="360"/>
        <w:jc w:val="both"/>
        <w:rPr>
          <w:rFonts w:ascii="David" w:hAnsi="David"/>
          <w:b/>
          <w:bCs/>
          <w:rtl/>
        </w:rPr>
      </w:pPr>
      <w:r w:rsidRPr="00093D69">
        <w:rPr>
          <w:rFonts w:ascii="David" w:hAnsi="David"/>
          <w:b/>
          <w:bCs/>
          <w:u w:val="single"/>
          <w:rtl/>
        </w:rPr>
        <w:t>האם ביצעה הנתבעת הרחקה שלא כדין של הקטינה ממקום מגוריה הרגיל בארה"ב</w:t>
      </w:r>
      <w:r w:rsidRPr="00093D69">
        <w:rPr>
          <w:rFonts w:ascii="David" w:hAnsi="David"/>
          <w:b/>
          <w:bCs/>
          <w:rtl/>
        </w:rPr>
        <w:t>?</w:t>
      </w: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אין חולק, כי החל ממועד נישואי הצדדים, לרבות הולדת בתם, ועד למועד עלייתה עם הנתבעת על הטיסה, הם התגוררו יחד עם בתם, שהיא מקטני קטינים, בארה"ב.</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עובדה נוספת היא כי לקטינה, המתגוררת מהולדתה בארה"ב – אזרחות אמריקאית בלבד.</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כך גם אין חולק, כי </w:t>
      </w:r>
      <w:r w:rsidRPr="00093D69">
        <w:rPr>
          <w:rFonts w:ascii="David" w:hAnsi="David"/>
          <w:b/>
          <w:bCs/>
          <w:u w:val="single"/>
          <w:rtl/>
        </w:rPr>
        <w:t>ביום 4.3.2024</w:t>
      </w:r>
      <w:r w:rsidRPr="00093D69">
        <w:rPr>
          <w:rFonts w:ascii="David" w:hAnsi="David"/>
          <w:rtl/>
        </w:rPr>
        <w:t xml:space="preserve">, בעת ששהה התובע במקסיקו לצורך חתונת מי מקרובי משפחתו, </w:t>
      </w:r>
      <w:r w:rsidRPr="00093D69">
        <w:rPr>
          <w:rFonts w:ascii="David" w:hAnsi="David"/>
          <w:b/>
          <w:bCs/>
          <w:u w:val="single"/>
          <w:rtl/>
        </w:rPr>
        <w:t>עלתה הנתבעת עם הקטינה על מטוס וטסה עמה לישראל</w:t>
      </w:r>
      <w:r w:rsidRPr="00093D69">
        <w:rPr>
          <w:rFonts w:ascii="David" w:hAnsi="David"/>
          <w:rtl/>
        </w:rPr>
        <w:t>.</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lastRenderedPageBreak/>
        <w:t xml:space="preserve">עובדה נוספת שאינה במחלוקת היא, כי במועד בו עלתה הנתבעת על המטוס עם הקטינה לישראל, היה בידה </w:t>
      </w:r>
      <w:r w:rsidRPr="00093D69">
        <w:rPr>
          <w:rFonts w:ascii="David" w:hAnsi="David"/>
          <w:b/>
          <w:bCs/>
          <w:u w:val="single"/>
          <w:rtl/>
        </w:rPr>
        <w:t>כרטיס טיסה הלוך לישראל בלבד</w:t>
      </w:r>
      <w:r w:rsidRPr="00093D69">
        <w:rPr>
          <w:rFonts w:ascii="David" w:hAnsi="David"/>
          <w:rtl/>
        </w:rPr>
        <w:t>; זאת כאשר הנתבעת טענה מצידה כי המדובר בכרטיס שהומר וכי התכוונה לחזור (ר' עמ' 3 לפרוט', ש' 32-24; ר' עמ' 39 לפרוט' ש' 26-28).</w:t>
      </w:r>
    </w:p>
    <w:p w:rsidR="009B38A4" w:rsidRPr="00093D69" w:rsidRDefault="009B38A4" w:rsidP="009B38A4">
      <w:pPr>
        <w:pStyle w:val="2"/>
        <w:spacing w:line="360" w:lineRule="auto"/>
        <w:ind w:left="360"/>
        <w:jc w:val="both"/>
        <w:rPr>
          <w:rFonts w:ascii="David" w:hAnsi="David"/>
          <w:b/>
          <w:bCs/>
          <w:u w:val="single"/>
        </w:rPr>
      </w:pPr>
    </w:p>
    <w:p w:rsidR="009B38A4" w:rsidRPr="00093D69" w:rsidRDefault="009B38A4" w:rsidP="009B38A4">
      <w:pPr>
        <w:pStyle w:val="2"/>
        <w:spacing w:line="360" w:lineRule="auto"/>
        <w:ind w:left="360"/>
        <w:jc w:val="both"/>
        <w:rPr>
          <w:rFonts w:ascii="David" w:hAnsi="David"/>
          <w:b/>
          <w:bCs/>
          <w:u w:val="single"/>
          <w:rtl/>
        </w:rPr>
      </w:pPr>
      <w:r w:rsidRPr="00093D69">
        <w:rPr>
          <w:rFonts w:ascii="David" w:hAnsi="David"/>
          <w:b/>
          <w:bCs/>
          <w:u w:val="single"/>
          <w:rtl/>
        </w:rPr>
        <w:t>הסכמה – האמנם</w:t>
      </w:r>
      <w:r w:rsidRPr="00093D69">
        <w:rPr>
          <w:rFonts w:ascii="David" w:hAnsi="David"/>
          <w:b/>
          <w:bCs/>
          <w:rtl/>
        </w:rPr>
        <w:t>?</w:t>
      </w: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כאן חלוקים הצדדים מהותית בטענותיהם.</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u w:val="single"/>
          <w:rtl/>
        </w:rPr>
        <w:t>התובע טוען, כי הוא למד אודות טיסתן של השתיים לישראל, רק כאשר היה בדרכו חזרה לארה"ב ממקסיקו</w:t>
      </w:r>
      <w:r w:rsidRPr="00093D69">
        <w:rPr>
          <w:rFonts w:ascii="David" w:hAnsi="David"/>
          <w:rtl/>
        </w:rPr>
        <w:t xml:space="preserve"> (לשם נסע לצורך השתתפות בחתונה משפחתית) וזאת </w:t>
      </w:r>
      <w:r w:rsidRPr="00093D69">
        <w:rPr>
          <w:rFonts w:ascii="David" w:hAnsi="David"/>
          <w:u w:val="single"/>
          <w:rtl/>
        </w:rPr>
        <w:t>מתוך הודעת טקסט ששלחה לו הנתבעת ביום 4.3.2024 המודיעה לו בזו הלשון</w:t>
      </w:r>
      <w:r w:rsidRPr="00093D69">
        <w:rPr>
          <w:rFonts w:ascii="David" w:hAnsi="David"/>
          <w:rtl/>
        </w:rPr>
        <w:t xml:space="preserve">: </w:t>
      </w:r>
      <w:r w:rsidRPr="00093D69">
        <w:rPr>
          <w:rFonts w:ascii="David" w:hAnsi="David"/>
          <w:b/>
          <w:bCs/>
          <w:rtl/>
        </w:rPr>
        <w:t>"היי. אמא שלי במצב לא טוב נסעתי לארץ"</w:t>
      </w:r>
      <w:r w:rsidRPr="00093D69">
        <w:rPr>
          <w:rFonts w:ascii="David" w:hAnsi="David"/>
          <w:rtl/>
        </w:rPr>
        <w:t>; משקיבל את ההודעה הוא הביע</w:t>
      </w:r>
      <w:r w:rsidRPr="00093D69">
        <w:rPr>
          <w:rFonts w:ascii="David" w:hAnsi="David"/>
          <w:u w:val="single"/>
          <w:rtl/>
        </w:rPr>
        <w:t xml:space="preserve"> אי הסכמה מפורשת</w:t>
      </w:r>
      <w:r w:rsidRPr="00093D69">
        <w:rPr>
          <w:rFonts w:ascii="David" w:hAnsi="David"/>
          <w:rtl/>
        </w:rPr>
        <w:t xml:space="preserve"> לכך שהנתבעת תיקח אם הקטינה עמה ותטוס וכתב לה בסיפא להודעתו: </w:t>
      </w:r>
      <w:r w:rsidRPr="00093D69">
        <w:rPr>
          <w:rFonts w:ascii="David" w:hAnsi="David"/>
          <w:b/>
          <w:bCs/>
          <w:rtl/>
        </w:rPr>
        <w:t xml:space="preserve">"אם את רוצה לנסוע את יכולה לעשות מה שאת רוצה. </w:t>
      </w:r>
      <w:r w:rsidRPr="00093D69">
        <w:rPr>
          <w:rFonts w:ascii="David" w:hAnsi="David"/>
          <w:b/>
          <w:bCs/>
          <w:u w:val="single"/>
          <w:rtl/>
        </w:rPr>
        <w:t>הילדה נשארת כאן</w:t>
      </w:r>
      <w:r w:rsidRPr="00093D69">
        <w:rPr>
          <w:rFonts w:ascii="David" w:hAnsi="David"/>
          <w:b/>
          <w:bCs/>
          <w:rtl/>
        </w:rPr>
        <w:t>"</w:t>
      </w:r>
      <w:r w:rsidRPr="00093D69">
        <w:rPr>
          <w:rFonts w:ascii="David" w:hAnsi="David"/>
          <w:rtl/>
        </w:rPr>
        <w:t>; לתמיכה בטענותיו צירף את 2 ההודעות הבאות: להלן (נספח 12, הדגשה לא במקור):</w:t>
      </w:r>
    </w:p>
    <w:p w:rsidR="009B38A4" w:rsidRPr="00093D69" w:rsidRDefault="009B38A4" w:rsidP="009B38A4">
      <w:pPr>
        <w:pStyle w:val="2"/>
        <w:spacing w:line="360" w:lineRule="auto"/>
        <w:jc w:val="center"/>
        <w:rPr>
          <w:rFonts w:ascii="David" w:hAnsi="David"/>
          <w:rtl/>
        </w:rPr>
      </w:pPr>
      <w:r w:rsidRPr="00093D69">
        <w:rPr>
          <w:rFonts w:ascii="David" w:hAnsi="David"/>
        </w:rPr>
        <w:drawing>
          <wp:inline distT="0" distB="0" distL="0" distR="0">
            <wp:extent cx="1562100" cy="2025650"/>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62100" cy="2025650"/>
                    </a:xfrm>
                    <a:prstGeom prst="rect">
                      <a:avLst/>
                    </a:prstGeom>
                    <a:noFill/>
                    <a:ln>
                      <a:noFill/>
                    </a:ln>
                  </pic:spPr>
                </pic:pic>
              </a:graphicData>
            </a:graphic>
          </wp:inline>
        </w:drawing>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התובע לא הסתפק במשלוח ההודעה לעיל, ושלח מסרונים נוספים, באנגלית ובעברית, לנתבעת, אשר מהם עולה ברורות, כי </w:t>
      </w:r>
      <w:r w:rsidRPr="00093D69">
        <w:rPr>
          <w:rFonts w:ascii="David" w:hAnsi="David"/>
          <w:u w:val="single"/>
          <w:rtl/>
        </w:rPr>
        <w:t>הוא אינו מסכים ליציאת הקטינה את גבולות ארה"ב</w:t>
      </w:r>
      <w:r w:rsidRPr="00093D69">
        <w:rPr>
          <w:rFonts w:ascii="David" w:hAnsi="David"/>
          <w:rtl/>
        </w:rPr>
        <w:t xml:space="preserve"> (ר' נספחים בעמ' 54-47 שצורפו לכתב התביעה); כך גם </w:t>
      </w:r>
      <w:r w:rsidRPr="00093D69">
        <w:rPr>
          <w:rFonts w:ascii="David" w:hAnsi="David"/>
          <w:u w:val="single"/>
          <w:rtl/>
        </w:rPr>
        <w:t>צירף התובע מייל</w:t>
      </w:r>
      <w:r w:rsidRPr="00093D69">
        <w:rPr>
          <w:rFonts w:ascii="David" w:hAnsi="David"/>
          <w:rtl/>
        </w:rPr>
        <w:t xml:space="preserve"> ששלח באותו היום 4.3.2024 שעה שעוד חשב שהנתבעת עם הקטינה עודן בארה"ב, ובו נכתב מפורשות, בין היתר, כי הוא </w:t>
      </w:r>
      <w:r w:rsidRPr="00093D69">
        <w:rPr>
          <w:rFonts w:ascii="David" w:hAnsi="David"/>
          <w:b/>
          <w:bCs/>
          <w:rtl/>
        </w:rPr>
        <w:t xml:space="preserve">אינו מסכים שהקטינה תעזוב את ארה"ב ללא רשותו, הוא מזהיר את הנתבעת לבל תעשה זאת אחרת תהא ב"צרות גדולות" כלשונו, </w:t>
      </w:r>
      <w:r w:rsidRPr="00093D69">
        <w:rPr>
          <w:rFonts w:ascii="David" w:hAnsi="David"/>
          <w:b/>
          <w:bCs/>
          <w:u w:val="single"/>
          <w:rtl/>
        </w:rPr>
        <w:t>ואף מגדיר את המעשה כ"חטיפה</w:t>
      </w:r>
      <w:r w:rsidRPr="00093D69">
        <w:rPr>
          <w:rFonts w:ascii="David" w:hAnsi="David"/>
          <w:b/>
          <w:bCs/>
          <w:rtl/>
        </w:rPr>
        <w:t>"</w:t>
      </w:r>
      <w:r w:rsidRPr="00093D69">
        <w:rPr>
          <w:rFonts w:ascii="David" w:hAnsi="David"/>
          <w:rtl/>
        </w:rPr>
        <w:t xml:space="preserve"> (ר' המייל שצורף כנספח לכתב התביעה, עמ' 62)</w:t>
      </w:r>
    </w:p>
    <w:p w:rsidR="009B38A4" w:rsidRPr="00093D69" w:rsidRDefault="00B83406" w:rsidP="00B83406">
      <w:pPr>
        <w:pStyle w:val="2"/>
        <w:spacing w:line="360" w:lineRule="auto"/>
        <w:ind w:left="360"/>
        <w:jc w:val="center"/>
        <w:rPr>
          <w:rFonts w:ascii="David" w:hAnsi="David"/>
          <w:sz w:val="22"/>
          <w:szCs w:val="22"/>
          <w:rtl/>
        </w:rPr>
      </w:pPr>
      <w:r w:rsidRPr="00B83406">
        <w:rPr>
          <w:rFonts w:ascii="David" w:hAnsi="David"/>
          <w:sz w:val="22"/>
          <w:szCs w:val="22"/>
          <w:rtl/>
        </w:rPr>
        <w:drawing>
          <wp:inline distT="0" distB="0" distL="0" distR="0" wp14:anchorId="62DAD190" wp14:editId="12175238">
            <wp:extent cx="1810625" cy="2904873"/>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0912" cy="2937420"/>
                    </a:xfrm>
                    <a:prstGeom prst="rect">
                      <a:avLst/>
                    </a:prstGeom>
                  </pic:spPr>
                </pic:pic>
              </a:graphicData>
            </a:graphic>
          </wp:inline>
        </w:drawing>
      </w:r>
    </w:p>
    <w:p w:rsidR="009B38A4" w:rsidRPr="00093D69" w:rsidRDefault="009B38A4" w:rsidP="009B38A4">
      <w:pPr>
        <w:pStyle w:val="2"/>
        <w:numPr>
          <w:ilvl w:val="0"/>
          <w:numId w:val="1"/>
        </w:numPr>
        <w:spacing w:line="360" w:lineRule="auto"/>
        <w:jc w:val="both"/>
        <w:rPr>
          <w:rFonts w:ascii="David" w:hAnsi="David"/>
          <w:sz w:val="22"/>
          <w:szCs w:val="22"/>
          <w:rtl/>
        </w:rPr>
      </w:pPr>
      <w:r w:rsidRPr="00093D69">
        <w:rPr>
          <w:rFonts w:ascii="David" w:hAnsi="David"/>
          <w:rtl/>
        </w:rPr>
        <w:t xml:space="preserve">התכתובות שצרפה הנתבעת לתיק ביום 16.9.2024, משלימה את התמונה העובדתית </w:t>
      </w:r>
      <w:r w:rsidRPr="00093D69">
        <w:rPr>
          <w:rFonts w:ascii="David" w:hAnsi="David"/>
          <w:b/>
          <w:bCs/>
          <w:u w:val="single"/>
          <w:rtl/>
        </w:rPr>
        <w:t>ותומכת בטענות התובע, לפיהן בזמן אמת</w:t>
      </w:r>
      <w:r w:rsidRPr="00093D69">
        <w:rPr>
          <w:rFonts w:ascii="David" w:hAnsi="David"/>
          <w:rtl/>
        </w:rPr>
        <w:t>,</w:t>
      </w:r>
      <w:r w:rsidRPr="00093D69">
        <w:rPr>
          <w:rFonts w:ascii="David" w:hAnsi="David"/>
          <w:b/>
          <w:bCs/>
          <w:u w:val="single"/>
          <w:rtl/>
        </w:rPr>
        <w:t xml:space="preserve"> סמוך לאחר שהודיעה לו שהיא טסה לישראל, בד בבד למשלוח המייל הוא שלח לה הודעות כתובות, מהן עולה בבירור, כי הוא כאבי הקטינה אינו מאשר לה להוציאה מחוץ לגבולות ארה"ב</w:t>
      </w:r>
      <w:r w:rsidRPr="00093D69">
        <w:rPr>
          <w:rFonts w:ascii="David" w:hAnsi="David"/>
          <w:rtl/>
        </w:rPr>
        <w:t>, זאת כאשר אין מענה מצידה של הנתבעת להודעות אלו (עמ' 1,514 להתכתבותיות הצדדים, כפי שצורפו כאמור ע"י הנתבעת, בעמ' 134 לקובץ מס' 12 למסמכים שצורפו)</w:t>
      </w:r>
      <w:r w:rsidRPr="00093D69">
        <w:rPr>
          <w:rFonts w:ascii="David" w:hAnsi="David"/>
          <w:sz w:val="22"/>
          <w:szCs w:val="22"/>
          <w:rtl/>
        </w:rPr>
        <w:t>:</w:t>
      </w:r>
    </w:p>
    <w:p w:rsidR="009B38A4" w:rsidRPr="00093D69" w:rsidRDefault="00B83406" w:rsidP="00B83406">
      <w:pPr>
        <w:pStyle w:val="2"/>
        <w:spacing w:line="360" w:lineRule="auto"/>
        <w:ind w:left="360"/>
        <w:jc w:val="center"/>
        <w:rPr>
          <w:rFonts w:ascii="David" w:hAnsi="David"/>
          <w:sz w:val="22"/>
          <w:szCs w:val="22"/>
          <w:rtl/>
        </w:rPr>
      </w:pPr>
      <w:r w:rsidRPr="00B83406">
        <w:rPr>
          <w:rFonts w:ascii="David" w:hAnsi="David"/>
          <w:sz w:val="22"/>
          <w:szCs w:val="22"/>
          <w:rtl/>
        </w:rPr>
        <w:lastRenderedPageBreak/>
        <w:drawing>
          <wp:inline distT="0" distB="0" distL="0" distR="0" wp14:anchorId="3497BD09" wp14:editId="5CD410C4">
            <wp:extent cx="2044341" cy="2544997"/>
            <wp:effectExtent l="0" t="0" r="0" b="8255"/>
            <wp:docPr id="9" name="תמונה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81164" cy="2590838"/>
                    </a:xfrm>
                    <a:prstGeom prst="rect">
                      <a:avLst/>
                    </a:prstGeom>
                  </pic:spPr>
                </pic:pic>
              </a:graphicData>
            </a:graphic>
          </wp:inline>
        </w:drawing>
      </w:r>
    </w:p>
    <w:p w:rsidR="009B38A4" w:rsidRPr="00093D69" w:rsidRDefault="009B38A4" w:rsidP="0019743C">
      <w:pPr>
        <w:pStyle w:val="2"/>
        <w:numPr>
          <w:ilvl w:val="0"/>
          <w:numId w:val="1"/>
        </w:numPr>
        <w:spacing w:line="360" w:lineRule="auto"/>
        <w:jc w:val="both"/>
        <w:rPr>
          <w:rFonts w:ascii="David" w:hAnsi="David"/>
          <w:sz w:val="22"/>
          <w:szCs w:val="22"/>
        </w:rPr>
      </w:pPr>
      <w:r w:rsidRPr="00093D69">
        <w:rPr>
          <w:rFonts w:ascii="David" w:hAnsi="David"/>
          <w:rtl/>
        </w:rPr>
        <w:t xml:space="preserve">טוענת הנתבעת, מנגד, כי יש כאן נסיון לייצר "נרטיב של חטיפה" (ר' עמ' 3 לפרוט', ש' 27); מאחר והתובע ידע שהנתבעת צריכה להגיע לישראל ולסעוד את הוריה </w:t>
      </w:r>
      <w:r w:rsidRPr="00093D69">
        <w:rPr>
          <w:rFonts w:ascii="David" w:hAnsi="David"/>
          <w:u w:val="single"/>
          <w:rtl/>
        </w:rPr>
        <w:t>ונתן לה הסכמה בעל פה</w:t>
      </w:r>
      <w:r w:rsidRPr="00093D69">
        <w:rPr>
          <w:rFonts w:ascii="David" w:hAnsi="David"/>
          <w:rtl/>
        </w:rPr>
        <w:t>; כך העידה הנתבעת על נסיבות נסיעתה ארצה עם הקטינה:</w:t>
      </w:r>
      <w:r w:rsidRPr="00093D69">
        <w:rPr>
          <w:rFonts w:ascii="David" w:hAnsi="David"/>
          <w:b/>
          <w:bCs/>
          <w:sz w:val="22"/>
          <w:szCs w:val="22"/>
          <w:rtl/>
        </w:rPr>
        <w:t>"לפני שנסעתי דברתי עם התובע ואמרתי לו שאני רוצה לנסוע להורים שלי. ההורים שלי לא הרגישו טוב והרבה זמן לא הייתי איתם. אימא שלי סובלת מהלב ואבא שלי עבר ניתוח</w:t>
      </w:r>
      <w:r w:rsidR="0019743C" w:rsidRPr="00093D69">
        <w:rPr>
          <w:rFonts w:ascii="David" w:hAnsi="David"/>
          <w:b/>
          <w:bCs/>
          <w:sz w:val="22"/>
          <w:szCs w:val="22"/>
          <w:rtl/>
        </w:rPr>
        <w:t xml:space="preserve"> </w:t>
      </w:r>
      <w:r w:rsidR="0019743C" w:rsidRPr="00093D69">
        <w:rPr>
          <w:rFonts w:ascii="David" w:hAnsi="David"/>
          <w:b/>
          <w:bCs/>
          <w:sz w:val="22"/>
          <w:szCs w:val="22"/>
        </w:rPr>
        <w:t>y</w:t>
      </w:r>
      <w:r w:rsidRPr="00093D69">
        <w:rPr>
          <w:rFonts w:ascii="David" w:hAnsi="David"/>
          <w:b/>
          <w:bCs/>
          <w:sz w:val="22"/>
          <w:szCs w:val="22"/>
          <w:rtl/>
        </w:rPr>
        <w:t xml:space="preserve"> ולכן רציתי לנסוע. </w:t>
      </w:r>
      <w:r w:rsidRPr="00093D69">
        <w:rPr>
          <w:rFonts w:ascii="David" w:hAnsi="David"/>
          <w:b/>
          <w:bCs/>
          <w:sz w:val="22"/>
          <w:szCs w:val="22"/>
          <w:u w:val="single"/>
          <w:rtl/>
        </w:rPr>
        <w:t>הוא אמר לי בע"פ שאני יכולה לנסוע</w:t>
      </w:r>
      <w:r w:rsidRPr="00093D69">
        <w:rPr>
          <w:rFonts w:ascii="David" w:hAnsi="David"/>
          <w:b/>
          <w:bCs/>
          <w:sz w:val="22"/>
          <w:szCs w:val="22"/>
          <w:rtl/>
        </w:rPr>
        <w:t xml:space="preserve">. </w:t>
      </w:r>
      <w:r w:rsidRPr="00093D69">
        <w:rPr>
          <w:rFonts w:ascii="David" w:hAnsi="David"/>
          <w:b/>
          <w:bCs/>
          <w:sz w:val="22"/>
          <w:szCs w:val="22"/>
          <w:u w:val="single"/>
          <w:rtl/>
        </w:rPr>
        <w:t>מן הסתם עם הילדה כי הילדה איתי 24/7. הוא נסע למקסיקו</w:t>
      </w:r>
      <w:r w:rsidRPr="00093D69">
        <w:rPr>
          <w:rFonts w:ascii="David" w:hAnsi="David"/>
          <w:b/>
          <w:bCs/>
          <w:sz w:val="22"/>
          <w:szCs w:val="22"/>
          <w:rtl/>
        </w:rPr>
        <w:t>. אם הייתי רוצה לחטוף את הילדה, אני אגיד שכשהוא נסע למקסיקו אני הלכתי לבית משפט שם כדי לדבר עם השופטת שתיתן לנו עוד כמה ימים להיות בבית הזה, והוא נסע לאחותו בלעדיי. אם הייתי רוצה לחטוף את הילדה לא הייתי הולכת לחפש לה גנים. אם הייתי רוצה להישאר פה, הרי השארתי את כל העולם שלי שם ולקחתי משם מעט דברים. מה שהוא עשה לי זה תרגיל הפוך</w:t>
      </w:r>
      <w:r w:rsidRPr="00093D69">
        <w:rPr>
          <w:rFonts w:ascii="David" w:hAnsi="David"/>
          <w:b/>
          <w:bCs/>
          <w:rtl/>
        </w:rPr>
        <w:t xml:space="preserve">" </w:t>
      </w:r>
      <w:r w:rsidRPr="00093D69">
        <w:rPr>
          <w:rFonts w:ascii="David" w:hAnsi="David"/>
          <w:rtl/>
        </w:rPr>
        <w:t>(עמ' 8 ש' 1-7 לפרוט' מיום 27.8.2024; הדגשות לא במקור).</w:t>
      </w:r>
    </w:p>
    <w:p w:rsidR="009B38A4" w:rsidRPr="00093D69" w:rsidRDefault="009B38A4" w:rsidP="009B38A4">
      <w:pPr>
        <w:pStyle w:val="2"/>
        <w:spacing w:line="360" w:lineRule="auto"/>
        <w:jc w:val="both"/>
        <w:rPr>
          <w:rFonts w:ascii="David" w:hAnsi="David"/>
          <w:sz w:val="22"/>
          <w:szCs w:val="22"/>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לתימוכין בטענותיה בדבר הסכמת התובע, טוענת הנתבעת, כי במספר הזדמנויות הודיעה לתובע שהיא רוצה לבקר את הוריה והוא אף הסכים לכך (ס' 4); כן מפנה הנתבעת בסיכומיה לנספח 26 לכתב התשובה. יוער, כי בכתב התשובה מפנה נספח 26 למסרונים </w:t>
      </w:r>
      <w:r w:rsidRPr="00093D69">
        <w:rPr>
          <w:rFonts w:ascii="David" w:hAnsi="David"/>
          <w:rtl/>
        </w:rPr>
        <w:lastRenderedPageBreak/>
        <w:t>מהמועדים 12.12.2023 ומיום 17.12.2023; ברם עיון בנספחים שצורפו תחת נספח מס' 26 אינו מפנה אליהם. יחד עם זאת ומאחר והצדדים צרפו על יסוד הסכמתם הדיונית את חליפת ההודעות ביניהם, עיון במסרונים מיום 12.12.2023 שהועברו ביניהם אינו מגלה כל דיון בעניין נסיעת הנתבעת לישראל ואילו עיון במסרונים מיום 17.12.2023, שצורף ע"י הנתבעת ביום 26.8.2024 בנפרד וכהשלמה לכתב התשובה ומוספר 20 (בעמ' 18 לבקשה לצירוף מסמכים) אף הוא דומה כי אינו מעיד על הסכמה, למצער מפורשת או בזיקה ישירה לטיסתה ביום 4.3.2024 לישראל</w:t>
      </w:r>
      <w:r w:rsidRPr="00093D69">
        <w:rPr>
          <w:rFonts w:ascii="David" w:hAnsi="David"/>
          <w:sz w:val="22"/>
          <w:szCs w:val="22"/>
          <w:rtl/>
        </w:rPr>
        <w:t>.</w:t>
      </w:r>
    </w:p>
    <w:p w:rsidR="009B38A4" w:rsidRPr="00093D69" w:rsidRDefault="009B38A4" w:rsidP="009B38A4">
      <w:pPr>
        <w:pStyle w:val="ad"/>
        <w:rPr>
          <w:rFonts w:ascii="David" w:hAnsi="David" w:cs="David"/>
          <w:rtl/>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b/>
          <w:bCs/>
          <w:u w:val="single"/>
          <w:rtl/>
        </w:rPr>
        <w:t>על רקע האמור לעיל, ההודעה הלאקונית בת 8 מילים, שבאמצעותה "מבשרת" הנתבעת לתובע המצוי, למורת רוחה, מחוץ לבית כמו גם לגבולות ארה"ב, כי היא נוטלת את הקטינה וטסה לישראל, מקבלת משמעות שונה</w:t>
      </w:r>
      <w:r w:rsidRPr="00093D69">
        <w:rPr>
          <w:rFonts w:ascii="David" w:hAnsi="David"/>
          <w:rtl/>
        </w:rPr>
        <w:t>, זאת כאשר התגובות המיידיות בזמן אמת של התובע להודעה החד צדדית ששלחה לו הנתבעת אינן מותירות מקום לספק, כי לא נתן את הסכמתו לכך, ולמצער התנגד בנקודת הזמן שבה יכול היה בהינתן העדרותו כאמור לעיל.</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קובעת הפסיקה כאמור לעיל, כי </w:t>
      </w:r>
      <w:r w:rsidRPr="00093D69">
        <w:rPr>
          <w:rFonts w:ascii="David" w:hAnsi="David"/>
          <w:b/>
          <w:bCs/>
          <w:rtl/>
        </w:rPr>
        <w:t xml:space="preserve">הסכמה צריכה להנתן </w:t>
      </w:r>
      <w:r w:rsidRPr="00093D69">
        <w:rPr>
          <w:rFonts w:ascii="David" w:hAnsi="David"/>
          <w:b/>
          <w:bCs/>
          <w:u w:val="single"/>
          <w:rtl/>
        </w:rPr>
        <w:t>מבעוד מועד</w:t>
      </w:r>
      <w:r w:rsidRPr="00093D69">
        <w:rPr>
          <w:rFonts w:ascii="David" w:hAnsi="David"/>
          <w:rtl/>
        </w:rPr>
        <w:t xml:space="preserve">; בהינתן האמור לעיל בראי כלל האמור לעיל, לרבות הראיות בכתובים אל מול עדות הנתבעת בדבר קבלת הסכמת התובע בעל פה </w:t>
      </w:r>
      <w:r w:rsidRPr="00093D69">
        <w:rPr>
          <w:rFonts w:ascii="David" w:hAnsi="David"/>
          <w:b/>
          <w:bCs/>
          <w:rtl/>
        </w:rPr>
        <w:t xml:space="preserve">–  </w:t>
      </w:r>
      <w:r w:rsidRPr="00093D69">
        <w:rPr>
          <w:rFonts w:ascii="David" w:hAnsi="David"/>
          <w:b/>
          <w:bCs/>
          <w:u w:val="single"/>
          <w:rtl/>
        </w:rPr>
        <w:t>מצאתי לקבוע, כי התובע לא נתן את הסכמתו ליציאתה של הקטינה מגבולות ארה"ב, מקום מגוריה הרגיל של הקטינה</w:t>
      </w:r>
      <w:r w:rsidRPr="00093D69">
        <w:rPr>
          <w:rFonts w:ascii="David" w:hAnsi="David"/>
          <w:rtl/>
        </w:rPr>
        <w:t xml:space="preserve">. </w:t>
      </w:r>
    </w:p>
    <w:p w:rsidR="009B38A4" w:rsidRPr="00093D69" w:rsidRDefault="009B38A4" w:rsidP="009B38A4">
      <w:pPr>
        <w:pStyle w:val="2"/>
        <w:spacing w:line="360" w:lineRule="auto"/>
        <w:ind w:left="360"/>
        <w:jc w:val="both"/>
        <w:rPr>
          <w:rFonts w:ascii="David" w:hAnsi="David"/>
        </w:rPr>
      </w:pPr>
    </w:p>
    <w:p w:rsidR="009B38A4" w:rsidRPr="00093D69" w:rsidRDefault="009B38A4" w:rsidP="009B38A4">
      <w:pPr>
        <w:pStyle w:val="2"/>
        <w:spacing w:line="360" w:lineRule="auto"/>
        <w:ind w:left="360"/>
        <w:jc w:val="both"/>
        <w:rPr>
          <w:rFonts w:ascii="David" w:hAnsi="David"/>
          <w:b/>
          <w:bCs/>
          <w:u w:val="single"/>
          <w:rtl/>
        </w:rPr>
      </w:pPr>
      <w:r w:rsidRPr="00093D69">
        <w:rPr>
          <w:rFonts w:ascii="David" w:hAnsi="David"/>
          <w:b/>
          <w:bCs/>
          <w:u w:val="single"/>
          <w:rtl/>
        </w:rPr>
        <w:t>הצגת זכות למשמורת של התובע - סעיף 3 לאמנה</w:t>
      </w: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lastRenderedPageBreak/>
        <w:t>טוענת הנתבעת, כי התובע אינו אוחז בזכות משמורת על הקטינה, שכן מאז הולדתה היא טופלה באופן בלעדי על ידה, כדוג' אחת לכך, מני רבות הינה עובדת נסיעתו של התובע לבדו למקסיקו, בסמוך לנסיעתן של הנתבעת והקטינה ארצה, כאשר הוא מפקיד בידה את הקטינה.</w:t>
      </w:r>
    </w:p>
    <w:p w:rsidR="009B38A4" w:rsidRPr="00093D69" w:rsidRDefault="009B38A4" w:rsidP="009B38A4">
      <w:pPr>
        <w:pStyle w:val="2"/>
        <w:spacing w:line="360" w:lineRule="auto"/>
        <w:jc w:val="both"/>
        <w:rPr>
          <w:rFonts w:ascii="David" w:hAnsi="David"/>
          <w:sz w:val="22"/>
          <w:szCs w:val="22"/>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לעניין הפעלת זכות המשמורת – סעיפים 3, 13(א) לאמנה - מוסיפה הנתבעת וטוענת, כי התובע לא הציג דבר המעיד על זכויותיו למשמורת; הוא לא פעל בארה"ב או בישראל לקביעת זכויות המשמורת שלו, בכלל זה לא הוגש מטעמו כתב הגנה בתביעת המשמורת שהגישה מטעמה בבימ"ש זה; כפי שעולה מחוו"ד של המומחה, הוא אף אינו מעוניין בזכות המשמורת על הקטינה (ר' באמור בחוו"ד המומחה בעמ' 13 וכן דברי המומחה בחקירתו בעמ' 45 לפרוט', ש' 24-32 לפרוט' מיום 15.9.2024). </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התובע טוען לעניין זה, כי לא יכולה להיות מחלוקת באשר להחזקת הקטינה בידי ההורים במשותף, קודם הרחקתה לישראל ע"י הנתבעת. זו האחרונה הכירה בזכות המשמורת שלו ביחס לקטינה, בהתאם לכך, עדכנה אותו אודות הוצאתה של הקטינה מארה"ב לצורך ביקור הסבים ואף טענה כי נתן לכך את הסכמתו. </w:t>
      </w:r>
    </w:p>
    <w:p w:rsidR="009B38A4" w:rsidRPr="00093D69" w:rsidRDefault="009B38A4" w:rsidP="009B38A4">
      <w:pPr>
        <w:pStyle w:val="ad"/>
        <w:rPr>
          <w:rFonts w:ascii="David" w:hAnsi="David" w:cs="David"/>
        </w:rPr>
      </w:pPr>
    </w:p>
    <w:p w:rsidR="009B38A4" w:rsidRDefault="009B38A4" w:rsidP="009B38A4">
      <w:pPr>
        <w:pStyle w:val="2"/>
        <w:numPr>
          <w:ilvl w:val="0"/>
          <w:numId w:val="1"/>
        </w:numPr>
        <w:spacing w:line="360" w:lineRule="auto"/>
        <w:jc w:val="both"/>
        <w:rPr>
          <w:rFonts w:ascii="David" w:hAnsi="David"/>
        </w:rPr>
      </w:pPr>
      <w:r w:rsidRPr="00093D69">
        <w:rPr>
          <w:rFonts w:ascii="David" w:hAnsi="David"/>
          <w:rtl/>
        </w:rPr>
        <w:t xml:space="preserve">בהתאם לפס"ד פוקסמן שאוזכר לעיל, יש ליתן פרשנות רחבה לכל הנוגע לזכויות משמורת, כך שיחול על כל מקרה בו הורחק קטין ממקום מגוריו הרגיל שלא בהסכמת הורה לו נתונות זכויות להסכים או שלא להסכים להוצאה מסוג זה. </w:t>
      </w:r>
    </w:p>
    <w:p w:rsidR="00B83406" w:rsidRPr="00093D69" w:rsidRDefault="00B83406" w:rsidP="00B83406">
      <w:pPr>
        <w:pStyle w:val="2"/>
        <w:spacing w:line="360" w:lineRule="auto"/>
        <w:jc w:val="both"/>
        <w:rPr>
          <w:rFonts w:ascii="David" w:hAnsi="David"/>
          <w:rtl/>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lastRenderedPageBreak/>
        <w:t xml:space="preserve">עולה כי גם במקרה דנא, אין ספק בדבר זכות המשמורת המוקנית לתובע ביחס לקטינה, אשר הנתבעת עצמה אינה מתכחשת לה.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אשר לסוגיית הפעלת זכות המשמורת של האב באופן אופרטיבי, נמצא כי לא נעשתה פנייה לערכאות השיפוטיות בארה"ב או בישראל לצורך הכרה משפטית בזכות, קודם להגשת ההליך דנא. ברם ולאור העקרונות שגובשו בפסיקה, דומה כי אין בכך כדי להוות חסם לקבלת הסעד הדחוף להשבת הקטינה מכוח אמנת האג, למצער שלא בנסיבות דנא. כמו כן וכפי שיפורט להלן, עולה כי היעדר נקיטת פעולה אקטיבית מצד התובע ביחס להכרה בזכויותיו, נעוצה, בין היתר, אף באופן התנהלותה של הנתבעת, במהלך שהותה בישראל, עת דומה, כי למצער עד לנקודת זמן מסויימת, היא יצרה בהתנהגותה מצג כביכול היא עתידה לשוב עם הקטינה לארה"ב.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משנשאל התובע בחקירתו על המנעותו מפתיחת הליכים בארה"ב, השיב כך:</w:t>
      </w:r>
      <w:r w:rsidRPr="00093D69">
        <w:rPr>
          <w:rFonts w:ascii="David" w:hAnsi="David"/>
          <w:b/>
          <w:bCs/>
          <w:rtl/>
        </w:rPr>
        <w:t xml:space="preserve"> "כשהיא עזבה התייעצתי עם עורכי דין בארה"ב. רציתי להבין מה אני צריך לעשות. עשיתי את זה מיד. אחרי שבוע, אחרי שהתחלתי להבין שמשהו לא כשורה אבל היא אמרה לי תרשום את הילדה לגן אז אמרתי אולי היא חוזרת ואולי היא באיזה מקום שהיא מבולבלת קצת והיא כן תחזור. לא ידעתי באמת את המקום שהיא נמצאת בו כרגע </w:t>
      </w:r>
      <w:r w:rsidRPr="00093D69">
        <w:rPr>
          <w:rFonts w:ascii="David" w:hAnsi="David"/>
          <w:rtl/>
        </w:rPr>
        <w:t xml:space="preserve">" (ר' בעמ' 28, ש' 11-15 לפרוט' מיום 2.9.2024).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כל זאת כאשר אין לשכוח שברקע הדברים היתה אף תכתובות מסרונים בין הצדדים, שבמהלכן ובאופן רציף, במועדים שונים, וביניהם בתאריכים  16.3.2024, 18.3.2024 </w:t>
      </w:r>
      <w:r w:rsidRPr="00093D69">
        <w:rPr>
          <w:rFonts w:ascii="David" w:hAnsi="David"/>
          <w:rtl/>
        </w:rPr>
        <w:br/>
        <w:t xml:space="preserve">ו-19.3.2024, כותבת הנתבעת לתובע, כי רצונה ברישום הקטינה לגן בארה"ב ומבקשת ממנו את כרטיס האשראי לצורך כך; וכאשר </w:t>
      </w:r>
      <w:r w:rsidRPr="00093D69">
        <w:rPr>
          <w:rFonts w:ascii="David" w:hAnsi="David"/>
          <w:rtl/>
        </w:rPr>
        <w:lastRenderedPageBreak/>
        <w:t>מבקש התובע את הפרטים של הגן על מנת שישלם בעצמו היא מתעקשת שתעשה זאת בעצמה אם רק ייתן לה פרטי אשראי (בעמ' 251-252 למסמכי התובע מיום 9.9.2024):</w:t>
      </w:r>
    </w:p>
    <w:p w:rsidR="009B38A4" w:rsidRPr="00093D69" w:rsidRDefault="00B83406" w:rsidP="009B38A4">
      <w:pPr>
        <w:pStyle w:val="2"/>
        <w:spacing w:line="360" w:lineRule="auto"/>
        <w:jc w:val="both"/>
        <w:rPr>
          <w:rFonts w:ascii="David" w:hAnsi="David"/>
        </w:rPr>
      </w:pPr>
      <w:r>
        <w:rPr>
          <w:rFonts w:ascii="David" w:hAnsi="David"/>
        </w:rPr>
        <w:drawing>
          <wp:inline distT="0" distB="0" distL="0" distR="0" wp14:anchorId="6EFDF347">
            <wp:extent cx="3673658" cy="1155940"/>
            <wp:effectExtent l="0" t="0" r="3175" b="6350"/>
            <wp:docPr id="26" name="תמונה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8389" cy="1163722"/>
                    </a:xfrm>
                    <a:prstGeom prst="rect">
                      <a:avLst/>
                    </a:prstGeom>
                    <a:noFill/>
                  </pic:spPr>
                </pic:pic>
              </a:graphicData>
            </a:graphic>
          </wp:inline>
        </w:drawing>
      </w:r>
    </w:p>
    <w:p w:rsidR="009B38A4" w:rsidRPr="00093D69" w:rsidRDefault="009B38A4" w:rsidP="009B38A4">
      <w:pPr>
        <w:pStyle w:val="2"/>
        <w:spacing w:line="360" w:lineRule="auto"/>
        <w:jc w:val="both"/>
        <w:rPr>
          <w:rFonts w:ascii="David" w:hAnsi="David"/>
          <w:rtl/>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עוד יוטעם כי </w:t>
      </w:r>
      <w:r w:rsidRPr="00093D69">
        <w:rPr>
          <w:rFonts w:ascii="David" w:hAnsi="David"/>
          <w:b/>
          <w:bCs/>
          <w:u w:val="single"/>
          <w:rtl/>
        </w:rPr>
        <w:t>הנתבעת הגישה תביעה לקביעתה כמשמורנית על הקטינה לבית המשפט דכאן</w:t>
      </w:r>
      <w:r w:rsidRPr="00093D69">
        <w:rPr>
          <w:rFonts w:ascii="David" w:hAnsi="David"/>
          <w:rtl/>
        </w:rPr>
        <w:t xml:space="preserve"> (תלה"מ 28314-04-24, ר' ס' 67 לכתב התביעה); כך שדומה כי בעצם הגשת התביעה לקבלת סעד בדמות קביעתה כהורה משמורן, כאמור, מגולמת ההבנה, כי זכות הורית זו אינה נתונה לה בהכרח, למצער בלעדית; וככל ורוצה להחזיק בה באופן זה עליה לפעול להגשת הליך.</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 התובע אינו כופר בעובדת החזקתה של הקטינה אצל האם ודומה כי אף מעודד לכך כי תיוותר במשמורתה, זאת גם במקרה שתשוב עימה לארה"ב. אך גם בעובדה זו אין כדי לשמוט את זכויותיו ההוריות ביחס לקטינה, ונהיר כי סוגיה זו עתידה להידון בידי בית המשפט המוסמך. </w:t>
      </w:r>
    </w:p>
    <w:p w:rsidR="00476EE6" w:rsidRPr="00093D69" w:rsidRDefault="00476EE6" w:rsidP="00476EE6">
      <w:pPr>
        <w:pStyle w:val="2"/>
        <w:spacing w:line="360" w:lineRule="auto"/>
        <w:jc w:val="both"/>
        <w:rPr>
          <w:rFonts w:ascii="David" w:hAnsi="David"/>
          <w:rtl/>
        </w:rPr>
      </w:pPr>
    </w:p>
    <w:p w:rsidR="009B38A4" w:rsidRPr="00093D69" w:rsidRDefault="009B38A4" w:rsidP="009B38A4">
      <w:pPr>
        <w:pStyle w:val="2"/>
        <w:spacing w:line="360" w:lineRule="auto"/>
        <w:ind w:left="360"/>
        <w:jc w:val="both"/>
        <w:rPr>
          <w:rFonts w:ascii="David" w:hAnsi="David"/>
          <w:b/>
          <w:bCs/>
          <w:u w:val="single"/>
        </w:rPr>
      </w:pPr>
      <w:r w:rsidRPr="00093D69">
        <w:rPr>
          <w:rFonts w:ascii="David" w:hAnsi="David"/>
          <w:b/>
          <w:bCs/>
          <w:u w:val="single"/>
          <w:rtl/>
        </w:rPr>
        <w:t>השלמה - האמנם</w:t>
      </w:r>
      <w:r w:rsidRPr="00093D69">
        <w:rPr>
          <w:rFonts w:ascii="David" w:hAnsi="David"/>
          <w:b/>
          <w:bCs/>
          <w:rtl/>
        </w:rPr>
        <w:t xml:space="preserve">? </w:t>
      </w: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מוסיפה הנתבעת וטוענת, כי התובע השלים עם הימצאה של הקטינה בישראל; דבר הניכר במעשיו ובמחדליו.</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lastRenderedPageBreak/>
        <w:t xml:space="preserve">אין מחלוקת, כי התובע הגיע ארצה בסוף חודש מרץ 2024; כאשר הנתבעת טוענת כי הגיע ביום 28.3.2024 ואילו התובע טען כי אינו זוכר מועד קונקרטי. כך או כך, ומבלי להתעלם מטענת הנתבעת אודות בדבר פרק הזמן שבין הגעתו לבין יצירת הקשר עמה, אין חולק כי נערכה על ידו פנייה ישירה לנתבעת בימים 3.4.2024 ו- 4.4.2024, במטרה ובבקשה ברורה לפגוש את הקטינה (ר' נספח 14 לכתב התביעה וכן דברי הנתבעת בעמ' 9, ש' 6-7 לפרוט' מיום 27.8.2024). כאשר על כך, </w:t>
      </w:r>
      <w:r w:rsidRPr="00093D69">
        <w:rPr>
          <w:rFonts w:ascii="David" w:hAnsi="David"/>
          <w:b/>
          <w:bCs/>
          <w:u w:val="single"/>
          <w:rtl/>
        </w:rPr>
        <w:t>השיבה לו הנתבעת כי יוכל לעשות כן, רק בליווי משטרה ובסופו של יום, לא נערך מפגש בין האב לקטינה והוא שב לארה"ב</w:t>
      </w:r>
      <w:r w:rsidRPr="00093D69">
        <w:rPr>
          <w:rFonts w:ascii="David" w:hAnsi="David"/>
          <w:rtl/>
        </w:rPr>
        <w:t xml:space="preserve">.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בהיבט ההשלמה אציין, כי לא נעלמה מעיני טענת הנתבעת בהקשר זה, כי התובע בחר שלא לפעול משפטית לרבות לאחר שהגיע לישראל לראשונה בסוף חודש מרץ; ואכן מעורר הדבר תהייה; ברם לצד זאת וכעולה לעיל, אין חולק אודות תרומתה הפעילה של הנתבעת ביצירת מצג בדבר שהות בישראל למשך תקופה קצובה לישראל, כעולה מהדברים לעיל, לרבות בדבר רצונה ברישום הקטינה לגן בארה"ב.</w:t>
      </w:r>
    </w:p>
    <w:p w:rsidR="009B38A4" w:rsidRPr="00093D69" w:rsidRDefault="009B38A4" w:rsidP="009B38A4">
      <w:pPr>
        <w:pStyle w:val="ad"/>
        <w:rPr>
          <w:rFonts w:ascii="David" w:hAnsi="David" w:cs="David"/>
          <w:sz w:val="24"/>
          <w:szCs w:val="24"/>
        </w:rPr>
      </w:pPr>
    </w:p>
    <w:p w:rsidR="009B38A4" w:rsidRDefault="009B38A4" w:rsidP="009B38A4">
      <w:pPr>
        <w:pStyle w:val="2"/>
        <w:numPr>
          <w:ilvl w:val="0"/>
          <w:numId w:val="1"/>
        </w:numPr>
        <w:spacing w:line="360" w:lineRule="auto"/>
        <w:jc w:val="both"/>
        <w:rPr>
          <w:rFonts w:ascii="David" w:hAnsi="David"/>
        </w:rPr>
      </w:pPr>
      <w:r w:rsidRPr="00093D69">
        <w:rPr>
          <w:rFonts w:ascii="David" w:hAnsi="David"/>
          <w:rtl/>
        </w:rPr>
        <w:t xml:space="preserve">יתרה מכך, מההתכתבויות בין הצדדים (שצורפו על ידי מי מהם לתיק) עולה, כי </w:t>
      </w:r>
      <w:r w:rsidRPr="00093D69">
        <w:rPr>
          <w:rFonts w:ascii="David" w:hAnsi="David"/>
          <w:u w:val="single"/>
          <w:rtl/>
        </w:rPr>
        <w:t>התובע ממשיך ושואל ללא הרף את הנתבעת אודות מועד חזרתה לארה"ב</w:t>
      </w:r>
      <w:r w:rsidRPr="00093D69">
        <w:rPr>
          <w:rFonts w:ascii="David" w:hAnsi="David"/>
          <w:rtl/>
        </w:rPr>
        <w:t xml:space="preserve">: </w:t>
      </w:r>
      <w:r w:rsidRPr="00093D69">
        <w:rPr>
          <w:rFonts w:ascii="David" w:hAnsi="David"/>
          <w:b/>
          <w:bCs/>
          <w:rtl/>
        </w:rPr>
        <w:t>"מתי את חוזרת"</w:t>
      </w:r>
      <w:r w:rsidRPr="00093D69">
        <w:rPr>
          <w:rFonts w:ascii="David" w:hAnsi="David"/>
          <w:rtl/>
        </w:rPr>
        <w:t xml:space="preserve"> והיא משיבה לו שהוריה מבוגרים וחולים </w:t>
      </w:r>
      <w:r w:rsidRPr="00093D69">
        <w:rPr>
          <w:rFonts w:ascii="David" w:hAnsi="David"/>
          <w:b/>
          <w:bCs/>
          <w:rtl/>
        </w:rPr>
        <w:t xml:space="preserve">"לא הייתי איתם שנים והם צריכים אותי, בייחוד אבא שלי ואני מודה לך </w:t>
      </w:r>
      <w:r w:rsidRPr="00093D69">
        <w:rPr>
          <w:rFonts w:ascii="David" w:hAnsi="David"/>
          <w:rtl/>
        </w:rPr>
        <w:t xml:space="preserve">(לתובע) </w:t>
      </w:r>
      <w:r w:rsidRPr="00093D69">
        <w:rPr>
          <w:rFonts w:ascii="David" w:hAnsi="David"/>
          <w:b/>
          <w:bCs/>
          <w:rtl/>
        </w:rPr>
        <w:t>על ההבנה כבר הרבה זמן רציתי לנסוע לישראל להיות איתם אבל זה הגיע למצב שאני לא אסלח לעצמי אם אני לא אהיה איתם"</w:t>
      </w:r>
      <w:r w:rsidRPr="00093D69">
        <w:rPr>
          <w:rFonts w:ascii="David" w:hAnsi="David"/>
          <w:rtl/>
        </w:rPr>
        <w:t xml:space="preserve"> (ר' תכתובת בין הצדדים מיום 13.3.2024, במסמכי התובע מיום 9.9.2024, בעמ' 248); בהתכתבות מיום 16.3.2024 בין הצדדים כותב שוב התובע, בין היתר: </w:t>
      </w:r>
      <w:r w:rsidRPr="00093D69">
        <w:rPr>
          <w:rFonts w:ascii="David" w:hAnsi="David"/>
          <w:b/>
          <w:bCs/>
          <w:rtl/>
        </w:rPr>
        <w:t xml:space="preserve">"את ממשיכה להתחמק שאלתי אותך שאלה פשוטה מתי אתם חוזרים אני רוצה </w:t>
      </w:r>
      <w:r w:rsidRPr="00093D69">
        <w:rPr>
          <w:rFonts w:ascii="David" w:hAnsi="David"/>
          <w:b/>
          <w:bCs/>
          <w:rtl/>
        </w:rPr>
        <w:lastRenderedPageBreak/>
        <w:t xml:space="preserve">לראות את הילדה" </w:t>
      </w:r>
      <w:r w:rsidRPr="00093D69">
        <w:rPr>
          <w:rFonts w:ascii="David" w:hAnsi="David"/>
          <w:rtl/>
        </w:rPr>
        <w:t xml:space="preserve">ובהמשך משיבה הנתבעת וכותבת, בין השאר: </w:t>
      </w:r>
      <w:r w:rsidRPr="00093D69">
        <w:rPr>
          <w:rFonts w:ascii="David" w:hAnsi="David"/>
          <w:b/>
          <w:bCs/>
          <w:rtl/>
        </w:rPr>
        <w:t xml:space="preserve">"תן לי לראות מה קורה פה עם ההורים ואעדכן אותך ואצטרך שתשלם על הכרטיס חזור, כי אין לי" </w:t>
      </w:r>
      <w:r w:rsidRPr="00093D69">
        <w:rPr>
          <w:rFonts w:ascii="David" w:hAnsi="David"/>
          <w:rtl/>
        </w:rPr>
        <w:t>(שם, בעמ' 251).</w:t>
      </w:r>
    </w:p>
    <w:p w:rsidR="00B83406" w:rsidRPr="00093D69" w:rsidRDefault="00B83406" w:rsidP="00B83406">
      <w:pPr>
        <w:pStyle w:val="2"/>
        <w:spacing w:line="360" w:lineRule="auto"/>
        <w:jc w:val="both"/>
        <w:rPr>
          <w:rFonts w:ascii="David" w:hAnsi="David"/>
          <w:rtl/>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בעדותה אישרה הנתבעת שהתכוונה לחזור וכך גם שיקפה זאת לתובע ובתוך כך איתרה גן מתאים לרישום הקטינה בארה"ב ואף ביקשה ממנו לרכוש כרטיסי טיסה עבורה ועבור הקטינה (ר' בעמ' 40, ש' 13-31 לפרוט' מיום 2.9.2024). </w:t>
      </w:r>
    </w:p>
    <w:p w:rsidR="009B38A4" w:rsidRPr="00093D69" w:rsidRDefault="009B38A4" w:rsidP="009B38A4">
      <w:pPr>
        <w:pStyle w:val="2"/>
        <w:spacing w:line="360" w:lineRule="auto"/>
        <w:ind w:left="360"/>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לדידה של הנתבעת, רק </w:t>
      </w:r>
      <w:r w:rsidRPr="00093D69">
        <w:rPr>
          <w:rFonts w:ascii="David" w:hAnsi="David"/>
          <w:b/>
          <w:bCs/>
          <w:u w:val="single"/>
          <w:rtl/>
        </w:rPr>
        <w:t>לאחר שובו של התובע</w:t>
      </w:r>
      <w:r w:rsidRPr="00093D69">
        <w:rPr>
          <w:rFonts w:ascii="David" w:hAnsi="David"/>
          <w:rtl/>
        </w:rPr>
        <w:t xml:space="preserve"> לארה"ב, במהלך חודש אפריל 2024, </w:t>
      </w:r>
      <w:r w:rsidRPr="00093D69">
        <w:rPr>
          <w:rFonts w:ascii="David" w:hAnsi="David"/>
          <w:b/>
          <w:bCs/>
          <w:rtl/>
        </w:rPr>
        <w:t xml:space="preserve">התגבשה </w:t>
      </w:r>
      <w:r w:rsidRPr="00093D69">
        <w:rPr>
          <w:rFonts w:ascii="David" w:hAnsi="David"/>
          <w:rtl/>
        </w:rPr>
        <w:t xml:space="preserve">אצלה החלטתה הסופית בדבר הישארות בישראל עם הקטינה.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אלא שעיון בהליכים שנפתחו ע"י הנתבעת בבית משפט זה, מעלה כי ביום 9.4.2024 נפתח הליך י"ס ע"י הנתבעת; ברם, </w:t>
      </w:r>
      <w:r w:rsidRPr="00093D69">
        <w:rPr>
          <w:rFonts w:ascii="David" w:hAnsi="David"/>
          <w:b/>
          <w:bCs/>
          <w:u w:val="single"/>
          <w:rtl/>
        </w:rPr>
        <w:t>עוד קודם לכן וכבר ביום 3.4.2024</w:t>
      </w:r>
      <w:r w:rsidRPr="00093D69">
        <w:rPr>
          <w:rFonts w:ascii="David" w:hAnsi="David"/>
          <w:rtl/>
        </w:rPr>
        <w:t xml:space="preserve">, פעלה הנתבעת להגשת בקשה לקביעת פורום נאות (ר' מועד פתיחת הליך בתמ"ש 8278-04-24 שהוגש ע"י הנתבעת, וכן מועד חתימת התצהיר שצורף גם לבקשה זהה שהוגשה במסגרת הליך הי"ס). </w:t>
      </w:r>
    </w:p>
    <w:p w:rsidR="009B38A4" w:rsidRPr="00093D69" w:rsidRDefault="009B38A4" w:rsidP="009B38A4">
      <w:pPr>
        <w:pStyle w:val="ad"/>
        <w:rPr>
          <w:rFonts w:ascii="David" w:hAnsi="David" w:cs="David"/>
        </w:rPr>
      </w:pPr>
    </w:p>
    <w:p w:rsidR="009B38A4" w:rsidRPr="00093D69" w:rsidRDefault="009B38A4" w:rsidP="009B38A4">
      <w:pPr>
        <w:pStyle w:val="2"/>
        <w:spacing w:line="360" w:lineRule="auto"/>
        <w:jc w:val="both"/>
        <w:rPr>
          <w:rFonts w:ascii="David" w:hAnsi="David"/>
          <w:rtl/>
        </w:rPr>
      </w:pPr>
      <w:r w:rsidRPr="00093D69">
        <w:rPr>
          <w:rFonts w:ascii="David" w:hAnsi="David"/>
          <w:rtl/>
        </w:rPr>
        <w:t xml:space="preserve">במילים אחרות, עולה כי הנתבעת פעלה להכנת ההליכים המשפטיים ולהגשת חלק מהם </w:t>
      </w:r>
      <w:r w:rsidRPr="00093D69">
        <w:rPr>
          <w:rFonts w:ascii="David" w:hAnsi="David"/>
          <w:b/>
          <w:bCs/>
          <w:u w:val="single"/>
          <w:rtl/>
        </w:rPr>
        <w:t>עוד במהלך שהותו של התובע בארץ</w:t>
      </w:r>
      <w:r w:rsidRPr="00093D69">
        <w:rPr>
          <w:rFonts w:ascii="David" w:hAnsi="David"/>
          <w:rtl/>
        </w:rPr>
        <w:t xml:space="preserve">, אף לשיטתה, וכעולה בבירור מעדותה: </w:t>
      </w:r>
      <w:r w:rsidRPr="00093D69">
        <w:rPr>
          <w:rFonts w:ascii="David" w:hAnsi="David"/>
          <w:b/>
          <w:bCs/>
          <w:sz w:val="22"/>
          <w:szCs w:val="22"/>
          <w:rtl/>
        </w:rPr>
        <w:t>"</w:t>
      </w:r>
      <w:r w:rsidRPr="00093D69">
        <w:rPr>
          <w:rFonts w:ascii="David" w:hAnsi="David"/>
          <w:b/>
          <w:bCs/>
          <w:sz w:val="22"/>
          <w:szCs w:val="22"/>
          <w:u w:val="single"/>
          <w:rtl/>
        </w:rPr>
        <w:t>פעם ראשונה שהוא בא לארץ היה ב-27.3 וגם על זה הוא משקר. יש לי הודעה מ-4.4 יומיים</w:t>
      </w:r>
      <w:r w:rsidRPr="00093D69">
        <w:rPr>
          <w:rFonts w:ascii="David" w:hAnsi="David"/>
          <w:b/>
          <w:bCs/>
          <w:sz w:val="22"/>
          <w:szCs w:val="22"/>
          <w:rtl/>
        </w:rPr>
        <w:t xml:space="preserve"> לפני שהוא חוזר אחרי שהיה פה שבוע" </w:t>
      </w:r>
      <w:r w:rsidRPr="00093D69">
        <w:rPr>
          <w:rFonts w:ascii="David" w:hAnsi="David"/>
          <w:rtl/>
        </w:rPr>
        <w:t>(ר' בעמ' 41 ש' 35 – עמ' 42 ש' 2; הדגשה לא במקור).</w:t>
      </w:r>
    </w:p>
    <w:p w:rsidR="009B38A4" w:rsidRPr="00093D69" w:rsidRDefault="009B38A4" w:rsidP="009B38A4">
      <w:pPr>
        <w:pStyle w:val="2"/>
        <w:spacing w:line="360" w:lineRule="auto"/>
        <w:ind w:left="360"/>
        <w:jc w:val="both"/>
        <w:rPr>
          <w:rFonts w:ascii="David" w:hAnsi="David"/>
          <w:rtl/>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b/>
          <w:bCs/>
          <w:u w:val="single"/>
          <w:rtl/>
        </w:rPr>
        <w:lastRenderedPageBreak/>
        <w:t>לא זו אף זו, עצם הגשת התובענות ע"י הנתבעת בעניין משמורת הקטינה וכן בדבר קבלת היתר להגירה לישראל, מלמדת אודות מודעותה והכרתה אשר להיעדר ההסכמה וההשלמה של התובע להמשך הישארות הקטינה בישראל כמגורי קבע</w:t>
      </w:r>
      <w:r w:rsidRPr="00093D69">
        <w:rPr>
          <w:rFonts w:ascii="David" w:hAnsi="David"/>
          <w:rtl/>
        </w:rPr>
        <w:t xml:space="preserve">; שהרי כאן נולד  הצורך לנקוט בהליכים משפטיים על מנת להכשיר זאת.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השתלשלות העניינים שתוארה לעיל, איפוא, עומדת לרועץ לנתבעת וחותרת תחת מהימנות טענותיה, לרבות לעניין כוונתה לשוב לארה"ב לכאורה, כמו גם בנוגע לאי גילוי כוונותיה האמיתיות בדבר רצונה להשתקע בישראל, לתובע, במהלך שהותו כאן בחודש אפריל.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בחקירתה לא הצליחה הנתבעת ליישב את הסתירה בין טענתה אודות מודעות התובע לנסיעתה לישראל הקטינה ומתן הסכמתו לכך, לבין המסרון הלאקוני שבאמצעותו בחרה לעדכנו בדבר טיסתה לישראל לצורך ביקור אמה (ר' בעמ' 39, ש' 23-34 לפרוט' מיום 2.9.2024). אומר, וזאת בזהירות המתחייבת מפאת כבודה של הנתבעת, כי את עדותה מצאתי כבלתי קוהרנטית, באופן החותר תחת מהימנותה.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כך גם לא מצאתי לקבל את ניסיונה של הנתבעת להיבנות מהימנעותו של התובע להגיע לפגוש את הקטינה במשך שהותו בישראל בחודש אפריל 2024 כהתנהגות משתמעת המלמדת על השלמה מצידו; שכן קשה לבסס טענה מסוג זה על רקע העובדה כי היא עצמה סרבה לאפשר לתובע להפגש עם הקטינה </w:t>
      </w:r>
      <w:r w:rsidRPr="00093D69">
        <w:rPr>
          <w:rFonts w:ascii="David" w:hAnsi="David"/>
          <w:b/>
          <w:bCs/>
          <w:u w:val="single"/>
          <w:rtl/>
        </w:rPr>
        <w:t>תוך שהיא מציבה דרישה כי הדבר ייעשה בליווי משטרה בלבד</w:t>
      </w:r>
      <w:r w:rsidRPr="00093D69">
        <w:rPr>
          <w:rFonts w:ascii="David" w:hAnsi="David"/>
          <w:rtl/>
        </w:rPr>
        <w:t xml:space="preserve">, ולאחר שזו החליפה את מקום מגוריה באופן זמני, כפי שעולה, על מנת להקשות עליו למוצאה (ר' דבריה של הנתבעת אשר הובאו במסגרת חוות דעת המומחה בעמ' 3). </w:t>
      </w:r>
    </w:p>
    <w:p w:rsidR="009B38A4" w:rsidRPr="00093D69" w:rsidRDefault="009B38A4" w:rsidP="009B38A4">
      <w:pPr>
        <w:rPr>
          <w:rFonts w:ascii="David" w:hAnsi="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lastRenderedPageBreak/>
        <w:t>הוסיפה הנתבעת וטענה, כי אלמלא הגשת תביעות ההגירה והמשמורת, היה התובע ממשיך לשקוט על שמריו, וכי רק לאחר שאלו הומצאו לו בהמצאה כדין מחוץ לתחום בסוף חודש יולי 2024, התעורר זה האחרון לפעול ע"י הגשת תביעה זו ביום 13.8.2024.</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התובע טען בחקירתו, כי לא קיבל את כתבי הטענות שנשלחו לו במייל ביום 17.4.2024 כטענת הנתבעת (ר' בעמ' 14 לפרוט' מיום 2.9.2024), זאת הגם שאישר את כתובת המייל שאליה נשלחו, וציין שקיבל את כתבי הטענות לראשונה בדואר רשום רק בסוף חודש יולי 2024 (שם, ש' 32-35); עוד הוסיף וטען, כי לאחר ביקורו בישראל במהלך חודש אפריל 2024, ולאחר שהנתבעת סירבה לאפשר לו לפגוש את הקטינה, הבשיל אצלו החשש כי היא לא מתכוונת לשוב לארה"ב. בהתאם לכך, פנה לשכור שירותי עו"ד, לצורך הגשת תביעה לבית המשפט בישראל לפי יעוץ משפטי שקיבל. לאחר זמן מה, איתר את באת כוחו ופעל בהתאם (ר' בעמ' 28 לפרוט').</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תחת מכלול הנסיבות הייחודיות להליך הזה, לא מצאתי, כי יש בהמתנת התובע כארבעה חודשים, למצער מאמצע חודש אפריל עת דומה כי נוצר אצלו הרושם בדבר אי כוונתה של הנתבעת לחזור לארה"ב, ועד להגשת התביעה הנ"ל בחודש אוגוסט, כדי לבסס את טענת הנתבעת אודות השלמתו או הסכמתו של התובע למצב החדש שנכפה עליו.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i/>
          <w:iCs/>
          <w:rtl/>
        </w:rPr>
        <w:t>בקביעה זו איני מתעלמת מפסיקות אחרות שבהן הוכרו אף פרקי זמן קצרים מארבעה חודשים ככאלה המאיינים חובת השבה</w:t>
      </w:r>
      <w:r w:rsidRPr="00093D69">
        <w:rPr>
          <w:rFonts w:ascii="David" w:hAnsi="David"/>
          <w:rtl/>
        </w:rPr>
        <w:t xml:space="preserve">; כגון, פסה"ד שבו תמכה הנתבעת עיקר יסודותיה, תמ"ש 40379-10-21 </w:t>
      </w:r>
      <w:r w:rsidRPr="00093D69">
        <w:rPr>
          <w:rFonts w:ascii="David" w:hAnsi="David"/>
          <w:b/>
          <w:bCs/>
          <w:rtl/>
        </w:rPr>
        <w:t xml:space="preserve">האב נ' האם </w:t>
      </w:r>
      <w:r w:rsidRPr="00093D69">
        <w:rPr>
          <w:rFonts w:ascii="David" w:hAnsi="David"/>
          <w:rtl/>
        </w:rPr>
        <w:t xml:space="preserve">(פורסם במאגרים המשפטיים, 13.12.2021); ברם, מעבר לעובדה שבהליכים עפ"י האמנה, יש מקום לבחינה קונקרטית של הנסיבות והקטין העומד לנגד עיני ביהמ"ש; אזי למקרא פסה"ד לעיל, </w:t>
      </w:r>
      <w:r w:rsidRPr="00093D69">
        <w:rPr>
          <w:rFonts w:ascii="David" w:hAnsi="David"/>
          <w:rtl/>
        </w:rPr>
        <w:lastRenderedPageBreak/>
        <w:t xml:space="preserve">עולה כי אין מקום להיקש שהתבקש ע"י הנתבעת תוך הפנייה רק לפרק הזמן שצוין שם (כחודש וחצי) וזאת במנותק מהמכלול הנסיבתי של אותו המקרה, </w:t>
      </w:r>
      <w:r w:rsidRPr="00093D69">
        <w:rPr>
          <w:rFonts w:ascii="David" w:hAnsi="David"/>
          <w:u w:val="single"/>
          <w:rtl/>
        </w:rPr>
        <w:t>השונה מהותית מנסיבות סכסוך זה</w:t>
      </w:r>
      <w:r w:rsidRPr="00093D69">
        <w:rPr>
          <w:rFonts w:ascii="David" w:hAnsi="David"/>
          <w:rtl/>
        </w:rPr>
        <w:t>.</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b/>
          <w:bCs/>
          <w:u w:val="single"/>
          <w:rtl/>
        </w:rPr>
        <w:t>יש לזכור, כי רכיב "חלוף הזמן", הגם טיבו האובייקטיבי, זוכה למשקל יחסי כזה העומד בהלימה עם עובדות המקרה</w:t>
      </w:r>
      <w:r w:rsidRPr="00093D69">
        <w:rPr>
          <w:rFonts w:ascii="David" w:hAnsi="David"/>
          <w:rtl/>
        </w:rPr>
        <w:t>.</w:t>
      </w:r>
      <w:r w:rsidRPr="00093D69">
        <w:rPr>
          <w:rFonts w:ascii="David" w:hAnsi="David"/>
          <w:b/>
          <w:bCs/>
          <w:rtl/>
        </w:rPr>
        <w:t xml:space="preserve"> </w:t>
      </w:r>
      <w:r w:rsidRPr="00093D69">
        <w:rPr>
          <w:rFonts w:ascii="David" w:hAnsi="David"/>
          <w:rtl/>
        </w:rPr>
        <w:t xml:space="preserve">כאשר בהתאם להוראות הפסיקה בנדון, יש לדון כל מקרה לנסיבותיו, זאת בראי תכליות אמנת האג; וכך נעשה גם במקרה דנא.  </w:t>
      </w:r>
    </w:p>
    <w:p w:rsidR="009B38A4" w:rsidRPr="00093D69" w:rsidRDefault="009B38A4" w:rsidP="009B38A4">
      <w:pPr>
        <w:ind w:left="360"/>
        <w:rPr>
          <w:rFonts w:ascii="David" w:hAnsi="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 התובע טען, כי מעת עזיבת הנתבעת את ארה"ב והגעתה לישראל, היא לא אפשרה לו לשוחח איתה טלפונית או לקיים שיחות וידאו עם הקטינה לצורך שמירת קשר עימה; הדבר נצפה אף בפניותיו של התובע בתכתובות בין השניים. הנתבעת אישרה כי מעת שנטלה ייצוג, כל ההתקשרות עם התובע, נעשתה ע"י בא כוחה (ר' בעמ' 39, ש' 19-22 לפרוט' מיום 2.9.2024). המומחה שמונה בתיק זה, הצביע על הבעייתיות העולה מאופן התנהלות האם כאמור לעיל, אשר לא יצרה או שמרה על קשר מינימאלי בין האב לקטינה במהלך פרק הזמן מני חודש מרץ 2024 ועד למפגש הראשון שהתקיים בין האב לקטינה ביום 27.8.2024 (ר' חוות דעת המומחה מיום 15.9.2024). </w:t>
      </w:r>
    </w:p>
    <w:p w:rsidR="009B38A4" w:rsidRPr="00093D69" w:rsidRDefault="009B38A4" w:rsidP="009B38A4">
      <w:pPr>
        <w:pStyle w:val="ad"/>
        <w:rPr>
          <w:rFonts w:ascii="David" w:hAnsi="David" w:cs="David"/>
        </w:rPr>
      </w:pPr>
    </w:p>
    <w:p w:rsidR="009B38A4" w:rsidRPr="00093D69" w:rsidRDefault="009B38A4" w:rsidP="00B441B1">
      <w:pPr>
        <w:pStyle w:val="2"/>
        <w:numPr>
          <w:ilvl w:val="0"/>
          <w:numId w:val="1"/>
        </w:numPr>
        <w:spacing w:line="360" w:lineRule="auto"/>
        <w:jc w:val="both"/>
        <w:rPr>
          <w:rFonts w:ascii="David" w:hAnsi="David"/>
          <w:rtl/>
        </w:rPr>
      </w:pPr>
      <w:r w:rsidRPr="00093D69">
        <w:rPr>
          <w:rFonts w:ascii="David" w:hAnsi="David"/>
          <w:rtl/>
        </w:rPr>
        <w:t>בחלוף כחודש וחצי מעת הגעתה ארצה, העתיקה הנתבעת את מגוריה עם הקטינה למלון דירות ב</w:t>
      </w:r>
      <w:r w:rsidR="00B441B1" w:rsidRPr="00093D69">
        <w:rPr>
          <w:rFonts w:ascii="David" w:hAnsi="David"/>
        </w:rPr>
        <w:t>XXXX</w:t>
      </w:r>
      <w:r w:rsidRPr="00093D69">
        <w:rPr>
          <w:rFonts w:ascii="David" w:hAnsi="David"/>
          <w:rtl/>
        </w:rPr>
        <w:t xml:space="preserve"> (החל מיום 11.4.2024 בהתאם לאישור שצורף לתיק מטעמה) ואף פעלה לרישום הקטינה למסגרת חינוכית ושילובה בה החל מחודש מאי 2024, כל זאת בהיעדר ידיעת התובע וללא קבלת הסכמה מצידו.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lastRenderedPageBreak/>
        <w:t xml:space="preserve">מקום בו טוענת הנתבעת, כי בכוונתה הראשונית הייתה לשוב לארה"ב ואף לאחר ששינתה את עמדתה ביחס לנדון, לא נהיר מדוע לא אפשרה קשר בין האב לקטינה או שיתפה בגלוי את התובע אודות רצונותיה, למצער בזיקה לקבלת החלטה מהותית כמסגרת חינוך. </w:t>
      </w:r>
      <w:r w:rsidRPr="00093D69">
        <w:rPr>
          <w:rFonts w:ascii="David" w:hAnsi="David"/>
          <w:rtl/>
        </w:rPr>
        <w:br/>
        <w:t xml:space="preserve">זאת כאשר לא מצאתי לקבל את טענותיה כי פעלה כך מחמת פחד רב שחשה כלפי התובע, כאשר טענות אלו לא הוכחו, לרבות על דרך עדותה, כמו גם על דרך ראייה אחרת.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אליבא דהתובע, התנהלות הנתבעת הייתה מתוכננת, כך יחסה כלפיו השתנה באופן מגמתי לאחר הולדת הקטינה </w:t>
      </w:r>
      <w:r w:rsidRPr="00093D69">
        <w:rPr>
          <w:rFonts w:ascii="David" w:hAnsi="David"/>
          <w:i/>
          <w:iCs/>
          <w:rtl/>
        </w:rPr>
        <w:t>וביתר שאת לאחר שקיבלה את האזרחות האמריקאית</w:t>
      </w:r>
      <w:r w:rsidRPr="00093D69">
        <w:rPr>
          <w:rFonts w:ascii="David" w:hAnsi="David"/>
          <w:rtl/>
        </w:rPr>
        <w:t xml:space="preserve">; או אז ניסתה להוביל מהלך של העמקת הקרע ביניהם לצורך הצדקת עזיבת ארה"ב עם הקטינה (ר' בעמ' 23 לפרוט' מיום 2.9.2024). </w:t>
      </w:r>
    </w:p>
    <w:p w:rsidR="009B38A4" w:rsidRPr="00093D69" w:rsidRDefault="009B38A4" w:rsidP="009B38A4">
      <w:pPr>
        <w:pStyle w:val="2"/>
        <w:spacing w:line="360" w:lineRule="auto"/>
        <w:jc w:val="both"/>
        <w:rPr>
          <w:rFonts w:ascii="David" w:hAnsi="David"/>
        </w:rPr>
      </w:pPr>
    </w:p>
    <w:p w:rsidR="009B38A4" w:rsidRPr="00093D69" w:rsidRDefault="009B38A4" w:rsidP="00AE452D">
      <w:pPr>
        <w:pStyle w:val="2"/>
        <w:numPr>
          <w:ilvl w:val="0"/>
          <w:numId w:val="1"/>
        </w:numPr>
        <w:spacing w:line="360" w:lineRule="auto"/>
        <w:jc w:val="both"/>
        <w:rPr>
          <w:rFonts w:ascii="David" w:hAnsi="David"/>
        </w:rPr>
      </w:pPr>
      <w:r w:rsidRPr="00093D69">
        <w:rPr>
          <w:rFonts w:ascii="David" w:hAnsi="David"/>
          <w:rtl/>
        </w:rPr>
        <w:t xml:space="preserve">הנתבעת טענה בחקירתה, כי חרף העליות והמורדות בזוגיות בין השניים, היא המשיכה להיאחז בתקווה כי מערכת היחסים הזוגית תשתפר, ובפרט לאחר הולדת הקטינה, בציפייה שהיא תחבר ביניהם (ר' בעמ' 37 לפרוט'). באשר להשתלבותה בלימודים ולהוצאת רישיון </w:t>
      </w:r>
      <w:r w:rsidR="00546FA2" w:rsidRPr="00093D69">
        <w:rPr>
          <w:rFonts w:ascii="David" w:hAnsi="David"/>
        </w:rPr>
        <w:t>xx</w:t>
      </w:r>
      <w:r w:rsidRPr="00093D69">
        <w:rPr>
          <w:rFonts w:ascii="David" w:hAnsi="David"/>
          <w:rtl/>
        </w:rPr>
        <w:t>, טענה כי "</w:t>
      </w:r>
      <w:r w:rsidRPr="00093D69">
        <w:rPr>
          <w:rFonts w:ascii="David" w:hAnsi="David"/>
          <w:b/>
          <w:bCs/>
          <w:rtl/>
        </w:rPr>
        <w:t>אני גרתי שם והיתה לי מטרה להישאר שם ראיתי את עצמי ממשיכה לחיות איתו ומביאה איתו משפחה</w:t>
      </w:r>
      <w:r w:rsidRPr="00093D69">
        <w:rPr>
          <w:rFonts w:ascii="David" w:hAnsi="David"/>
          <w:rtl/>
        </w:rPr>
        <w:t xml:space="preserve">" (ר' בעמ' 38, ש' 11-12).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לאור האמור, עולה כי אף לשיטתה של הנתבעת, מקום מגו</w:t>
      </w:r>
      <w:r w:rsidR="00B441B1" w:rsidRPr="00093D69">
        <w:rPr>
          <w:rFonts w:ascii="David" w:hAnsi="David"/>
          <w:rtl/>
        </w:rPr>
        <w:t>ר</w:t>
      </w:r>
      <w:r w:rsidRPr="00093D69">
        <w:rPr>
          <w:rFonts w:ascii="David" w:hAnsi="David"/>
          <w:rtl/>
        </w:rPr>
        <w:t>יהם וחייהם של הצדדים הינו בארה"ב ואף היא ראתה שם את עתידה הרחוק עם התובע והקטינה; כאשר לצורך כך אף פעלה לקבלת גרין כארד. מכאן, כי לא תמוהה ציפייתו ואמונתו של התובע לשובן של הנתבעת והקטינה לארה"ב.</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מטענות הצדדים עולה, כי להתדרדרות היחסים בין הנתבעת לבין משפחתו המורחבת של התובע תרומה משמעותית להסלמה במשבר הזוגי בין השניים; כך לא ניתן להתעלם מתזמון מועד עזיבתה של הנתבעת את ארה"ב, במקביל לנסיעתו של התובע לבדו, לאירוע החתונה של אחותו במקסיקו; זאת כאשר אין מחלוקת בין הצדדים, כי לבקשת משפחתו, הנתבעת לא הצטרפה לנסיעה זו, תוך שהנתבעת ממשיגה זאת כ"נידוי" (ר' בעמ' 7 לפרוט' מיום 27.8.2024, ש' 30-36). </w:t>
      </w:r>
    </w:p>
    <w:p w:rsidR="009B38A4" w:rsidRPr="00093D69" w:rsidRDefault="009B38A4" w:rsidP="009B38A4">
      <w:pPr>
        <w:pStyle w:val="ad"/>
        <w:rPr>
          <w:rFonts w:ascii="David" w:hAnsi="David" w:cs="David"/>
        </w:rPr>
      </w:pPr>
    </w:p>
    <w:p w:rsidR="009B38A4" w:rsidRPr="00093D69" w:rsidRDefault="009B38A4" w:rsidP="004B49B6">
      <w:pPr>
        <w:pStyle w:val="2"/>
        <w:numPr>
          <w:ilvl w:val="0"/>
          <w:numId w:val="1"/>
        </w:numPr>
        <w:spacing w:line="360" w:lineRule="auto"/>
        <w:jc w:val="both"/>
        <w:rPr>
          <w:rFonts w:ascii="David" w:hAnsi="David"/>
          <w:rtl/>
        </w:rPr>
      </w:pPr>
      <w:r w:rsidRPr="00093D69">
        <w:rPr>
          <w:rFonts w:ascii="David" w:hAnsi="David"/>
          <w:rtl/>
        </w:rPr>
        <w:t>מחקירתה של הנתבעת עולה, כי אף בשלב מוקדם יותר, במהלך שנת 2023, היו חיכוכים בין הצדדים סביב מקומה של הנתבעת בקרב המשפחה המורחבת (ר' דבריה של הנתבעת אודות תמונה של התובע עם נכדתו – "</w:t>
      </w:r>
      <w:r w:rsidRPr="00093D69">
        <w:rPr>
          <w:rFonts w:ascii="David" w:hAnsi="David"/>
          <w:b/>
          <w:bCs/>
          <w:rtl/>
        </w:rPr>
        <w:t xml:space="preserve">זה תמונה שבכלל לא... עם מי הוא נמצא בתמונה? מה שאת רואה בתמונה הראשונה, את בכלל מראה תמונה עם הנכדה שלו. לא, לא התמונה הראשונית היא תמונה של הנכדה של ולא של </w:t>
      </w:r>
      <w:r w:rsidR="004B49B6" w:rsidRPr="00093D69">
        <w:rPr>
          <w:rFonts w:ascii="David" w:hAnsi="David"/>
          <w:b/>
          <w:bCs/>
        </w:rPr>
        <w:t xml:space="preserve">xxx </w:t>
      </w:r>
      <w:r w:rsidRPr="00093D69">
        <w:rPr>
          <w:rFonts w:ascii="David" w:hAnsi="David"/>
          <w:b/>
          <w:bCs/>
          <w:rtl/>
        </w:rPr>
        <w:t xml:space="preserve"> </w:t>
      </w:r>
      <w:r w:rsidR="004B49B6" w:rsidRPr="00093D69">
        <w:rPr>
          <w:rFonts w:ascii="David" w:hAnsi="David"/>
          <w:rtl/>
        </w:rPr>
        <w:t>(הקטינה – ה.מ.ש)</w:t>
      </w:r>
      <w:r w:rsidR="0096224B" w:rsidRPr="00093D69">
        <w:rPr>
          <w:rFonts w:ascii="David" w:hAnsi="David"/>
          <w:b/>
          <w:bCs/>
          <w:rtl/>
        </w:rPr>
        <w:t xml:space="preserve"> </w:t>
      </w:r>
      <w:r w:rsidRPr="00093D69">
        <w:rPr>
          <w:rFonts w:ascii="David" w:hAnsi="David"/>
          <w:b/>
          <w:bCs/>
          <w:rtl/>
        </w:rPr>
        <w:t>וזאת תמונה שהבת שלו ילדה תינוקת ראשונה, נכדה ראשונה, היא גרה בלוס אנג'לס והוא הלך כמובן לבד, הוא לא לקח אותי, כמובן מי אני שאקח אותי? וזאת תמונה לו לבד הוא לא שלח לי את זה אפילו זו תמונה שהיתה אצלו במחשב. אין לי את התמונה הזאת כי מי אני בכלל במשפחה הזאת? אני כלום</w:t>
      </w:r>
      <w:r w:rsidRPr="00093D69">
        <w:rPr>
          <w:rFonts w:ascii="David" w:hAnsi="David"/>
          <w:rtl/>
        </w:rPr>
        <w:t>. " (ר' בעמ' 34, ש' 6-13 לפרוט' מיום 2.9.2024)).</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מן התכתובות שהומצאו מטעם הצדדים נצפה בבירור קרע משמעותי ביחסים בין השניים, עד כדי מילות נאצה והתבטאויות קשות ובלתי מכבדות, המשקפות את טיב היחסים בחודשים שקדמו למועד עזיבתה של הנתבעת לישראל, לרבות על רקע טענות התובע לבזבוזים מצד הנתבעת וטענות הנתבעת להעדר תמיכה כלכלית מספקת מצידו, לרבות בקניית מוצרי צריכה כמו גם טענות במישור היחסים הבינאישי ביניהם (ר' למשל, נספח 1 לכתב התשובה של הנתבעת; קובץ מס' 12 למסמכי הנתבעת, בעמ' 1,381 – 1,396 עמ' 1-</w:t>
      </w:r>
      <w:r w:rsidRPr="00093D69">
        <w:rPr>
          <w:rFonts w:ascii="David" w:hAnsi="David"/>
          <w:rtl/>
        </w:rPr>
        <w:lastRenderedPageBreak/>
        <w:t xml:space="preserve">16 לקובץ מס' 12;  בעמ' 1443-11,445 (עמ' 63-65 לקובץ 12; ואלו דוגמאות בלבד); ברם, הגם דעיכתה של מערכת היחסים הזוגית בין השניים, מצאתי כי האב שב והבהיר את עמדתו לנתבעת, משך חלוף הזמן, כי </w:t>
      </w:r>
      <w:r w:rsidRPr="00093D69">
        <w:rPr>
          <w:rFonts w:ascii="David" w:hAnsi="David"/>
          <w:u w:val="single"/>
          <w:rtl/>
        </w:rPr>
        <w:t>הוא אינו מוותר על זכויותיו ההוריות</w:t>
      </w:r>
      <w:r w:rsidRPr="00093D69">
        <w:rPr>
          <w:rFonts w:ascii="David" w:hAnsi="David"/>
          <w:rtl/>
        </w:rPr>
        <w:t xml:space="preserve"> ביחס לקטינה ועל רצונו לקיים קשר משמעותי ורציף עימה בנוכחות מלאה בחייה (ר' נספחי 12-13 לכתב התביעה).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בנסיבות אלה ולאור כל האמור לעיל, לא מצאתי כי עלה בידי הנתבעת להוכיח את קיומו של חריגי ההסכמה או ההשלמה, כקביעת  ס' 13(א) לחוק אמנת האג. </w:t>
      </w:r>
    </w:p>
    <w:p w:rsidR="009B38A4" w:rsidRPr="00093D69" w:rsidRDefault="009B38A4" w:rsidP="009B38A4">
      <w:pPr>
        <w:rPr>
          <w:rFonts w:ascii="David" w:hAnsi="David"/>
        </w:rPr>
      </w:pPr>
    </w:p>
    <w:p w:rsidR="009B38A4" w:rsidRDefault="009B38A4" w:rsidP="009B38A4">
      <w:pPr>
        <w:ind w:firstLine="360"/>
        <w:rPr>
          <w:rFonts w:ascii="David" w:hAnsi="David"/>
          <w:b/>
          <w:bCs/>
          <w:u w:val="single"/>
          <w:rtl/>
        </w:rPr>
      </w:pPr>
      <w:r w:rsidRPr="00093D69">
        <w:rPr>
          <w:rFonts w:ascii="David" w:hAnsi="David"/>
          <w:b/>
          <w:bCs/>
          <w:u w:val="single"/>
          <w:rtl/>
        </w:rPr>
        <w:t xml:space="preserve">בחינת קיומו של החריג בס' 13(ב) לאמנה </w:t>
      </w:r>
    </w:p>
    <w:p w:rsidR="00A2337C" w:rsidRPr="00A2337C" w:rsidRDefault="00A2337C" w:rsidP="009B38A4">
      <w:pPr>
        <w:ind w:firstLine="360"/>
        <w:rPr>
          <w:rFonts w:ascii="David" w:hAnsi="David"/>
          <w:b/>
          <w:bCs/>
          <w:sz w:val="18"/>
          <w:szCs w:val="18"/>
          <w:u w:val="single"/>
          <w:rtl/>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כבר בפתח הדברים, יצוין, בנסיבותיות של הסכסוך דנא, בהתאם למבחני הפסיקה בצירוף חוות דעת המומחה שהונחה, לא מצאתי, כי עלה בידי הנתבעת להוכיח התקיימות החריג הקבוע בס' 13(ב), זאת בזיקה לטיבו של ההליך דנא ובין היתר אף בראי רף ההוכחה הנדרש. כל זאת נאמר, מבלי שיש בכך כדי לקבוע מסמרות בנוגע לטענות מי מהצדדים בזיקה לסוגיית משמורת הקטינה, אשר תבחן בידי הערכאה המוסמכת, בהתאם לכללים הנורמטיבים החלים בסוגיות מסוג זה, השונים, כאמור, מההליך דנא.</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יתרה מכך, נמצא, כי בזיקה לסוגיית השבת הקטינה, ניתן להתגבר על מרבית הכשלים, העומדים לכאורה, שעליהם הצביעה הנתבעת, ע"י קביעת המתווה המתאים ובו קריטריונים שנועדו להבטיח את שלומה של הקטינה לאחר החזרתה לארה"ב; כל זאת בראי נקודת המוצא, שדומה שעליה אין מחלוקת בין הצדדים בדבר שהייתה של הקטינה, למצער בשלב זה, במשמורת הנתבעת זאת תוך קביעת זמני שהות לתובע, כעולה בבירור אף מחוות דעת המומחה.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דומה, כי מרבית טענותיה של הנתבעת בדבר קיומו של חשש לגרימת נזק חמור מעבר לעובדה שלא הוכחו, ולמצער ברף הנדרש, הרי שהן אינן טענות מסוג שמאיין את חובת ההשבה בהתאם לאמנה והפסיקה בעניינה.</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מסקנה זו מתחזקת אף לנוכח עמדת המומחה, לרבות כמשתקף בעדותו; לפיה יש לערוך הבחנה מתאימה בין הטענות השונות שהועלו ע"י האם, לרבות זיקוקן של אלו הרלוונטיות לבחינת קיומו של חשש לגרימת נזק חמור בהתאם לקבוע בחריג: </w:t>
      </w:r>
    </w:p>
    <w:p w:rsidR="009B38A4" w:rsidRPr="00093D69" w:rsidRDefault="009B38A4" w:rsidP="009B38A4">
      <w:pPr>
        <w:pStyle w:val="ad"/>
        <w:spacing w:line="360" w:lineRule="auto"/>
        <w:jc w:val="both"/>
        <w:rPr>
          <w:rFonts w:ascii="David" w:hAnsi="David" w:cs="David"/>
          <w:b/>
          <w:bCs/>
          <w:i/>
          <w:iCs/>
          <w:sz w:val="24"/>
          <w:szCs w:val="24"/>
        </w:rPr>
      </w:pPr>
      <w:r w:rsidRPr="00093D69">
        <w:rPr>
          <w:rFonts w:ascii="David" w:hAnsi="David" w:cs="David"/>
          <w:b/>
          <w:bCs/>
          <w:i/>
          <w:iCs/>
          <w:sz w:val="24"/>
          <w:szCs w:val="24"/>
          <w:rtl/>
        </w:rPr>
        <w:t>"ת. אני סביר למה כן התייחסתי, הטענות של האם לגבי הסכנה שנשקפת לילדה להחזרתה לארה"ב התחלקו לשניים, האחד ביחס לסכנה שהאב מהווה לילדה...</w:t>
      </w:r>
    </w:p>
    <w:p w:rsidR="009B38A4" w:rsidRPr="00093D69" w:rsidRDefault="009B38A4" w:rsidP="009B38A4">
      <w:pPr>
        <w:pStyle w:val="ad"/>
        <w:spacing w:line="360" w:lineRule="auto"/>
        <w:jc w:val="both"/>
        <w:rPr>
          <w:rFonts w:ascii="David" w:hAnsi="David" w:cs="David"/>
          <w:b/>
          <w:bCs/>
          <w:i/>
          <w:iCs/>
          <w:sz w:val="24"/>
          <w:szCs w:val="24"/>
          <w:rtl/>
        </w:rPr>
      </w:pPr>
      <w:r w:rsidRPr="00093D69">
        <w:rPr>
          <w:rFonts w:ascii="David" w:hAnsi="David" w:cs="David"/>
          <w:b/>
          <w:bCs/>
          <w:i/>
          <w:iCs/>
          <w:sz w:val="24"/>
          <w:szCs w:val="24"/>
          <w:rtl/>
        </w:rPr>
        <w:t>ש. ולאם.  נשאלת לגבי הילדה.</w:t>
      </w:r>
    </w:p>
    <w:p w:rsidR="009B38A4" w:rsidRPr="00093D69" w:rsidRDefault="009B38A4" w:rsidP="009B38A4">
      <w:pPr>
        <w:pStyle w:val="ad"/>
        <w:spacing w:line="360" w:lineRule="auto"/>
        <w:jc w:val="both"/>
        <w:rPr>
          <w:rFonts w:ascii="David" w:hAnsi="David" w:cs="David"/>
          <w:b/>
          <w:bCs/>
          <w:i/>
          <w:iCs/>
          <w:sz w:val="24"/>
          <w:szCs w:val="24"/>
          <w:rtl/>
        </w:rPr>
      </w:pPr>
      <w:r w:rsidRPr="00093D69">
        <w:rPr>
          <w:rFonts w:ascii="David" w:hAnsi="David" w:cs="David"/>
          <w:b/>
          <w:bCs/>
          <w:i/>
          <w:iCs/>
          <w:sz w:val="24"/>
          <w:szCs w:val="24"/>
          <w:rtl/>
        </w:rPr>
        <w:t>ת. החלק השני קשור לסכנה שהיא חושבת שהוא מהווה לה וגם לקשיים שיהיו לה בחיים בארה"ב.</w:t>
      </w:r>
    </w:p>
    <w:p w:rsidR="009B38A4" w:rsidRPr="00093D69" w:rsidRDefault="009B38A4" w:rsidP="009B38A4">
      <w:pPr>
        <w:pStyle w:val="ad"/>
        <w:spacing w:line="360" w:lineRule="auto"/>
        <w:jc w:val="both"/>
        <w:rPr>
          <w:rFonts w:ascii="David" w:hAnsi="David" w:cs="David"/>
          <w:b/>
          <w:bCs/>
          <w:i/>
          <w:iCs/>
          <w:sz w:val="24"/>
          <w:szCs w:val="24"/>
          <w:rtl/>
        </w:rPr>
      </w:pPr>
      <w:r w:rsidRPr="00093D69">
        <w:rPr>
          <w:rFonts w:ascii="David" w:hAnsi="David" w:cs="David"/>
          <w:b/>
          <w:bCs/>
          <w:i/>
          <w:iCs/>
          <w:sz w:val="24"/>
          <w:szCs w:val="24"/>
          <w:u w:val="single"/>
          <w:rtl/>
        </w:rPr>
        <w:t>לגבי הסכנה שהאב מהווה לילדה, לה טוענת האם לא היה בבדיקתי כדי לאשר טענה זו</w:t>
      </w:r>
      <w:r w:rsidRPr="00093D69">
        <w:rPr>
          <w:rFonts w:ascii="David" w:hAnsi="David" w:cs="David"/>
          <w:b/>
          <w:bCs/>
          <w:i/>
          <w:iCs/>
          <w:sz w:val="24"/>
          <w:szCs w:val="24"/>
          <w:rtl/>
        </w:rPr>
        <w:t xml:space="preserve">. לגבי הסכנה שהאב מהווה לאם לגבי הקשיים שיהיו לאם אם תוחזר לארה"ב, אם הילדה תוחזר לארה"ב הרי שאין באמת את הכלים לדעת מה היה המצב בין ההורים בארה"ב. שניהם טוענים דברים שונים אולי הפוכים. לא היה חומר רקע ולא לדברי האם מסמכים עם אסמכתאות, עדויות של אנשים אובייקטיבים שיכולים לשפוך אור על הטענה שלה." </w:t>
      </w:r>
      <w:r w:rsidRPr="00093D69">
        <w:rPr>
          <w:rFonts w:ascii="David" w:hAnsi="David" w:cs="David"/>
          <w:sz w:val="24"/>
          <w:szCs w:val="24"/>
          <w:rtl/>
        </w:rPr>
        <w:t>(ר' בעמ' 44. ש' 33-36 וכן בעמ' 45, ש' 1-5 לפרוט' מיום 15.9.2024).</w:t>
      </w:r>
    </w:p>
    <w:p w:rsidR="009B38A4" w:rsidRPr="00093D69" w:rsidRDefault="009B38A4" w:rsidP="009B38A4">
      <w:pPr>
        <w:pStyle w:val="ad"/>
        <w:spacing w:line="360" w:lineRule="auto"/>
        <w:jc w:val="both"/>
        <w:rPr>
          <w:rFonts w:ascii="David" w:hAnsi="David" w:cs="David"/>
          <w:b/>
          <w:bCs/>
          <w:i/>
          <w:iCs/>
          <w:sz w:val="24"/>
          <w:szCs w:val="24"/>
          <w:rtl/>
        </w:rPr>
      </w:pPr>
    </w:p>
    <w:p w:rsidR="009B38A4" w:rsidRPr="00093D69" w:rsidRDefault="009B38A4" w:rsidP="00A2337C">
      <w:pPr>
        <w:pStyle w:val="2"/>
        <w:numPr>
          <w:ilvl w:val="0"/>
          <w:numId w:val="1"/>
        </w:numPr>
        <w:spacing w:line="360" w:lineRule="auto"/>
        <w:jc w:val="both"/>
        <w:rPr>
          <w:rFonts w:ascii="David" w:hAnsi="David"/>
          <w:rtl/>
        </w:rPr>
      </w:pPr>
      <w:r w:rsidRPr="00093D69">
        <w:rPr>
          <w:rFonts w:ascii="David" w:hAnsi="David"/>
          <w:rtl/>
        </w:rPr>
        <w:lastRenderedPageBreak/>
        <w:t xml:space="preserve"> בנוסף לכך, וכאמור לעיל ישנו הכרח בביצוע הבחנה בין טענות רלוונטיות לשאלה המונח</w:t>
      </w:r>
      <w:r w:rsidR="00A2337C">
        <w:rPr>
          <w:rFonts w:ascii="David" w:hAnsi="David" w:hint="cs"/>
          <w:rtl/>
        </w:rPr>
        <w:t>ת</w:t>
      </w:r>
      <w:r w:rsidRPr="00093D69">
        <w:rPr>
          <w:rFonts w:ascii="David" w:hAnsi="David"/>
          <w:rtl/>
        </w:rPr>
        <w:t xml:space="preserve"> לפני, בירור קיומו של החריג, לבין טענות המתייחסות לסוגיית החזקת הקטינה ומשמורת ההורים, החורגות מגדרו של הליך זה ודינן להתברר במסגרת ההליך המתאים. </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הנתבעת העלתה מגוון טענות שנטענו רובן ככולן בצורה קיצונית (ר' לשון כתב התשובה), לרבות בדבר היות התובע מכור לסמים, נוטל כדורים פסיכיאטרים, כמו גם בנוגע לאלימות שחוותה ממנו - כלכלית, מילולית ונפשית; כאשר התובע הכחיש זאת. בנוסף הציגה את העובדה, כי הואשם בפלילים ואכן הנתבע לא הכחיש, כפי שיפורט להלן; כמו כן, הדגישה ביתר שאת את תנודות המגורים שהיו מנת חלקם  של הצדדים במשך החיים המשותפים; כלל טענות אלה מבססות לדעת הנתבעת קיומו של חריג "החשש החמור", שבהתקיימו אין חובה להחזיר את הקטינה לארה"ב.</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מעל לכל, התרשמתי כי עיקר טענותיה של הנתבעת נסובות במהותן אודות הקשיים שעימם תידרש להתמודד במידה ותשוב לארה"ב, בכלל זה קשיי פרנסה, היעדר מקום מגורים וקשיי השתלבות; אשר לטענתה באלו יהא כדי להעיב על מצב הקטינה באופן העולה כדי הנזק הנדרש בהתאם לקביעת חריגי האמנה.</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אין ספק, כי צודקת הנתבעת בטענה, לפיה קיים קשר הדוק בין רווחתה של האם לבין רווחתה של הקטינה, לרבות זו הרגשית. אף המומחה ציין זאת בחקירתו כשנשאל על הסוגיה: </w:t>
      </w:r>
      <w:r w:rsidRPr="00093D69">
        <w:rPr>
          <w:rFonts w:ascii="David" w:hAnsi="David"/>
          <w:b/>
          <w:bCs/>
          <w:rtl/>
        </w:rPr>
        <w:t>"אין ספק כי מצב הנפשי של האם ישפיע על הילדה</w:t>
      </w:r>
      <w:r w:rsidRPr="00093D69">
        <w:rPr>
          <w:rFonts w:ascii="David" w:hAnsi="David"/>
          <w:rtl/>
        </w:rPr>
        <w:t>." (ר' בעמ' 51, ש' 24-26 לפרוט' מיום 15.9.2024); ברם לא מצאתי כי טענותיה של האם כאמור לעיל, הוכחו על ידה.</w:t>
      </w:r>
    </w:p>
    <w:p w:rsidR="009B38A4" w:rsidRPr="00093D69" w:rsidRDefault="009B38A4" w:rsidP="009B38A4">
      <w:pPr>
        <w:pStyle w:val="ad"/>
        <w:rPr>
          <w:rFonts w:ascii="David" w:hAnsi="David" w:cs="David"/>
        </w:rPr>
      </w:pPr>
    </w:p>
    <w:p w:rsidR="009B38A4" w:rsidRPr="00093D69" w:rsidRDefault="009B38A4" w:rsidP="006B0856">
      <w:pPr>
        <w:pStyle w:val="2"/>
        <w:numPr>
          <w:ilvl w:val="0"/>
          <w:numId w:val="1"/>
        </w:numPr>
        <w:spacing w:line="360" w:lineRule="auto"/>
        <w:jc w:val="both"/>
        <w:rPr>
          <w:rFonts w:ascii="David" w:hAnsi="David"/>
          <w:rtl/>
        </w:rPr>
      </w:pPr>
      <w:r w:rsidRPr="00093D69">
        <w:rPr>
          <w:rFonts w:ascii="David" w:hAnsi="David"/>
          <w:rtl/>
        </w:rPr>
        <w:t xml:space="preserve">זאת ועוד, מעדות המומחה, מתחדדת ההבנה הכיצד נסיבותיו הייחודיות של המקרה דנא, הובילו אותו למסקנה בדבר היעדר קיומו של חריג הנזק אף לא בהיבט זה של הקשר בין קשיי האם לרווחת הקטינה: </w:t>
      </w:r>
      <w:r w:rsidRPr="00093D69">
        <w:rPr>
          <w:rFonts w:ascii="David" w:hAnsi="David"/>
          <w:b/>
          <w:bCs/>
          <w:rtl/>
        </w:rPr>
        <w:t>"לדעתי צריך לזכור כי האם גרה בארה"ב לא מעט שנים, האם דווקא רצתה לגור שם ואפילו פעלה להוציא אזרחות והצליחה. אני מסכים לגבי היכולות השכליות של האם, מה שגבירתי אמרה קודם ולא צריך לחשוש כי היא לא תצליח להסתדר שם, היא למדה קורס ב</w:t>
      </w:r>
      <w:r w:rsidR="006B0856">
        <w:rPr>
          <w:rFonts w:ascii="David" w:hAnsi="David" w:hint="cs"/>
          <w:b/>
          <w:bCs/>
          <w:rtl/>
        </w:rPr>
        <w:t>-</w:t>
      </w:r>
      <w:r w:rsidR="006B0856">
        <w:rPr>
          <w:rFonts w:ascii="David" w:hAnsi="David"/>
          <w:b/>
          <w:bCs/>
        </w:rPr>
        <w:t>xx</w:t>
      </w:r>
      <w:r w:rsidRPr="00093D69">
        <w:rPr>
          <w:rFonts w:ascii="David" w:hAnsi="David"/>
          <w:b/>
          <w:bCs/>
          <w:rtl/>
        </w:rPr>
        <w:t xml:space="preserve">, ולדבריה העסק לא הצליח ואני לא יודע למה. עצם השאלה הזו, היא שאלה שנמצאת בהרבה מאוד תיקים מהסוג הזה שהורה אחד רוצה לגור פה ואחד שם. זה שאלה דומה בתיקי הגירה. מצד אחד צריך לתת משקל לזה שאחד מההורים הוא ההורה שנושא בעיקר אחריות גידול היום יומי של הילד וזה בהחלט המקרה פה שהאם היא האחראית. אין חולק על כך. אני חושב שגם הלאה אין מחלוקת על כך אבל אני לא נשאלה פה שאלה לגבי משמורת. ביהמ"ש לא שואל אותי לגבי משמורת או הסדרי שהות וגם לא שאלות של תיק הגירה, אלא אם החזרת הילדה מהווה סיכון" </w:t>
      </w:r>
      <w:r w:rsidRPr="00093D69">
        <w:rPr>
          <w:rFonts w:ascii="David" w:hAnsi="David"/>
          <w:rtl/>
        </w:rPr>
        <w:t>(ר' בעמ' 51, ש' 15-23 לפרוט').</w:t>
      </w:r>
      <w:r w:rsidRPr="00093D69">
        <w:rPr>
          <w:rFonts w:ascii="David" w:hAnsi="David"/>
          <w:b/>
          <w:bCs/>
          <w:rtl/>
        </w:rPr>
        <w:t xml:space="preserve"> </w:t>
      </w:r>
    </w:p>
    <w:p w:rsidR="009B38A4" w:rsidRPr="00093D69" w:rsidRDefault="009B38A4" w:rsidP="009B38A4">
      <w:pPr>
        <w:pStyle w:val="2"/>
        <w:spacing w:line="360" w:lineRule="auto"/>
        <w:jc w:val="both"/>
        <w:rPr>
          <w:rFonts w:ascii="David" w:hAnsi="David"/>
          <w:rtl/>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האם ניסתה עוד לטעון כי היא חוששת לחייה ברמה הקיומית, כאשר עם חזרתה לארה"ב, יוכל התובע "להעלים" אותה באמצעות אנשים מפוקפקים עימם הוא בקשר וכי שם ניתן לעשות זאת ביתר קלות (ר' דבריה של הנתבעת בחוות דעת המומחה בעמ' 7). ברם, לא מצאתי כי טענה זו הוכחה ברף הנדרש;כך גם לא התרשמתי ממהימנות טענותיה בדבר חששה לפנות לרשויות הרווחה או לגורמי האכיפה בארה"ב; זאת בפרט על רקע טיבן הקיצוני ביותר של טענותיה אודות התנהגות התובע.</w:t>
      </w:r>
    </w:p>
    <w:p w:rsidR="009B38A4" w:rsidRPr="00093D69" w:rsidRDefault="009B38A4" w:rsidP="009B38A4">
      <w:pPr>
        <w:pStyle w:val="ad"/>
        <w:rPr>
          <w:rFonts w:ascii="David" w:hAnsi="David" w:cs="David"/>
          <w:rtl/>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lastRenderedPageBreak/>
        <w:t>יחד עם זאת, אין מקום להתעלם, מכך כי מהחומר שנפרש לפני, עולה כי הצדדים אכן העתיקו את מגוריהם מספר פעמים, במשך השנים; דבר העומד לכאורה בסתירה אל מול מצבו האיתן כלכלית של התובע, כנטען על ידו (ר' פרוט' מיום 2.9.2024, 27.8.2024).</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spacing w:line="360" w:lineRule="auto"/>
        <w:jc w:val="both"/>
        <w:rPr>
          <w:rFonts w:ascii="David" w:hAnsi="David"/>
          <w:rtl/>
        </w:rPr>
      </w:pPr>
      <w:r w:rsidRPr="00093D69">
        <w:rPr>
          <w:rFonts w:ascii="David" w:hAnsi="David"/>
          <w:rtl/>
        </w:rPr>
        <w:t xml:space="preserve">אליבא דהתובע, המדובר בנוהג מקובל באזור מגוריהם, כאשר ישנו היצע מוגבל של דירות להשכרה, שמרביתן מוצעות למגורים לפרק זמן של 12 חודשים בלבד (ר' בעמ' 19, ש' 3-5 לפרוט' מיום 2.9.2024). מנגד טענה הנתבעת כי שינוי מקום המגורים נבע מהתנהלותו הבעייתית של התובע, שכללה אי תשלום דמי השכירות במועד וגרימת נזק למבנים באופן שהוביל לפינויים מן המושכר.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ביתר ש</w:t>
      </w:r>
      <w:r w:rsidR="00A20B76">
        <w:rPr>
          <w:rFonts w:ascii="David" w:hAnsi="David"/>
          <w:rtl/>
        </w:rPr>
        <w:t>את, המחישה הנתבעת את הקשיים עימ</w:t>
      </w:r>
      <w:r w:rsidR="00A20B76">
        <w:rPr>
          <w:rFonts w:ascii="David" w:hAnsi="David" w:hint="cs"/>
          <w:rtl/>
        </w:rPr>
        <w:t>ם</w:t>
      </w:r>
      <w:r w:rsidRPr="00093D69">
        <w:rPr>
          <w:rFonts w:ascii="David" w:hAnsi="David"/>
          <w:rtl/>
        </w:rPr>
        <w:t xml:space="preserve"> התמודדה, במקרה בו פונתה עם הקטינה מחוץ לבית המגורים, במזג אוויר מושלג; הא לכך, הועלו מצד הצדדים טענות סותרות; ברם, מן החומר שנפרש לפני עולה, כי הצדדים אכן פונו מדירות שהושכרו להם.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לעניין זה, ציין המומחה בחקירתו כי ככל ותוכח גרסתה של הנתבעת בעניין מעברי המגורים, הרי שיש בכך בעייתיות באופן ההתנהלות. ברם, אין בכך כדי לפטור את הנתבעת עצמה מאחריות, שכן הצדדים שניהם, התקשרו בחוזי השכירות כשוכרים (ר' בעמ' 48 לפרוט'). בהינתן גדרי ההכרעה הנדרשת לפני, לא מצאתי שיש בכך כדי להטות את הכף להוכחת טענות הנתבעת לעניין הנזק; </w:t>
      </w:r>
      <w:r w:rsidRPr="00093D69">
        <w:rPr>
          <w:rFonts w:ascii="David" w:hAnsi="David"/>
          <w:u w:val="single"/>
          <w:rtl/>
        </w:rPr>
        <w:t>זאת מבלי להתעלם מהעובדה שיש ליתן לכך משקל לאופן השבת הקטינה עם הנתבעת לארה"ב, במסגרת קביעת תנאים להשבה</w:t>
      </w:r>
      <w:r w:rsidRPr="00093D69">
        <w:rPr>
          <w:rFonts w:ascii="David" w:hAnsi="David"/>
          <w:b/>
          <w:bCs/>
          <w:rtl/>
        </w:rPr>
        <w:t>; עמדה אשר עלתה במובהק אף מהמלצות המומחה בדבר אופן מתן פתרון לטענות הנתבעת בנוגע להסדרת מגוריה עם הקטינה קודם החזרתה לארה"ב; עוד הוסיף המומחה, כי בית המשפט המוסמך יידרש במסגרת ההליך המתאים להבטחת שלומה וביטחונה של הקטינה בחלוקת הזמנים בין הצדדים בהתאם לקביעותיו.</w:t>
      </w:r>
      <w:r w:rsidRPr="00093D69">
        <w:rPr>
          <w:rFonts w:ascii="David" w:hAnsi="David"/>
          <w:rtl/>
        </w:rPr>
        <w:t xml:space="preserve">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מכל מקום, אין חולק, והדבר עולה בבירור מעדות התובע, כי נכון לנקודת זמן זו, התובע פינה את הבית שבו גרו הצדדים עובר לטיסת הנתבעת עם הקטינה; כך שפרקטית אין בית מגורים שאליו תוכל הקטינה לשוב עם הנתבעת ויש ליתן לכך מענה, אף בגדרי ההליך דנא כתנאי מובנה אינהרנטי לסעד המבוקש בדבר השבה.</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להוכחת טענתה בדבר האלימות הכלכלית ממנה סבלה, צירפה הנתבעת תכתובות בין השניים, בהן נצפו בין היתר בקשות הנתבעת מן התובע להעברת תשלומים וכספים לגורמים שונים, כדוגמה עבור דמי השכירות, שירותי הניקיון והבייביסיטר (ר', למשל נספחים 2,4 לכתב תשובת הנתבעת). אכן, מהתכתובות שצורפו עולה התכתבות יתרה בין הצדדים לרבות מצד הנתבעת המבקשת מהתובע העברת כספים ואף דאגה לקניית מצרכים הביתה; זאת כאשר יצוין כי אין מחלוקת בין הצדדים, כי התובע היה המפרנס העיקרי וכי הוא נשא בנטל תשלומי המדור ואחזקתו וכן הוצאות המחייה. </w:t>
      </w:r>
    </w:p>
    <w:p w:rsidR="009B38A4" w:rsidRPr="00093D69" w:rsidRDefault="009B38A4" w:rsidP="009B38A4">
      <w:pPr>
        <w:pStyle w:val="ad"/>
        <w:rPr>
          <w:rFonts w:ascii="David" w:hAnsi="David" w:cs="David"/>
        </w:rPr>
      </w:pPr>
    </w:p>
    <w:p w:rsidR="009B38A4" w:rsidRPr="00093D69" w:rsidRDefault="009B38A4" w:rsidP="0014429D">
      <w:pPr>
        <w:pStyle w:val="2"/>
        <w:numPr>
          <w:ilvl w:val="0"/>
          <w:numId w:val="1"/>
        </w:numPr>
        <w:spacing w:line="360" w:lineRule="auto"/>
        <w:jc w:val="both"/>
        <w:rPr>
          <w:rFonts w:ascii="David" w:hAnsi="David"/>
          <w:rtl/>
        </w:rPr>
      </w:pPr>
      <w:r w:rsidRPr="00093D69">
        <w:rPr>
          <w:rFonts w:ascii="David" w:hAnsi="David"/>
          <w:rtl/>
        </w:rPr>
        <w:t xml:space="preserve">יצויין, כי הנתבעת אשר פעלה להוצאת רישיון </w:t>
      </w:r>
      <w:r w:rsidR="0014429D" w:rsidRPr="00093D69">
        <w:rPr>
          <w:rFonts w:ascii="David" w:hAnsi="David"/>
        </w:rPr>
        <w:t>xx</w:t>
      </w:r>
      <w:r w:rsidRPr="00093D69">
        <w:rPr>
          <w:rFonts w:ascii="David" w:hAnsi="David"/>
          <w:rtl/>
        </w:rPr>
        <w:t>, טענה כי עבדה חלקית בתחום, אולם לא עלה בידה להתבסס בו, בשל קשיים שונים. התובע טען בהקשר זה, כי הנתבעת עשתה שימוש ב-4 כרטיסי אשראי, אולם בשל בזבזנו</w:t>
      </w:r>
      <w:r w:rsidR="00B83406">
        <w:rPr>
          <w:rFonts w:ascii="David" w:hAnsi="David" w:hint="cs"/>
          <w:rtl/>
        </w:rPr>
        <w:t>ת</w:t>
      </w:r>
      <w:r w:rsidRPr="00093D69">
        <w:rPr>
          <w:rFonts w:ascii="David" w:hAnsi="David"/>
          <w:rtl/>
        </w:rPr>
        <w:t xml:space="preserve">ה, הייתה פונה אליו לקבלת כספים נוספים לאחר שהגיעה לתקרת השימוש באשראי.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 מן החומרים שהונחו לפני, לא הוכח כי מצבם הכלכלי של הצדדים היה בכי רע ודומה אף כי נהפוך הוא, כאשר לצד זאת, מטענותיהם עולה כי אף נצברו להם חובות שונים, לרבות חוב בגין צריכת חשמל, בסכומים גבוהים.</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התובע טען לעניין זה בחקירתו, כי הנתבעת לא הייתה מוגבלת ברכישותיה, וכי ניסיונה לייצר מצג של הזדקקות או תחינה לקבלת צרכים בסיסיים נעשתה באופן מגמתי ופיקטיבי (ר' בעמ' 24-25 לפרוט' מיום 2.9.2024). לטענתו הנתבעת ביכרה לרכוש בכרטיסי האשראי דברים בשביל עצמה והותירה לו לשאת לבדו בעלויות של הוצאות משק הבית וכו' ("</w:t>
      </w:r>
      <w:r w:rsidRPr="00093D69">
        <w:rPr>
          <w:rFonts w:ascii="David" w:hAnsi="David"/>
          <w:b/>
          <w:bCs/>
          <w:rtl/>
        </w:rPr>
        <w:t>זה לא קשור אליה. הזכויות שלה והחובות שלי. אף פעם היא לא שילמה חשמל או שכירות. רק בקניות, היא היתה קונה, הכל זה כסף שלי</w:t>
      </w:r>
      <w:r w:rsidRPr="00093D69">
        <w:rPr>
          <w:rFonts w:ascii="David" w:hAnsi="David"/>
          <w:rtl/>
        </w:rPr>
        <w:t xml:space="preserve">." בעמ' 26, ש' 9-10 לפרוט'). </w:t>
      </w:r>
    </w:p>
    <w:p w:rsidR="009B38A4" w:rsidRPr="00093D69" w:rsidRDefault="009B38A4" w:rsidP="009B38A4">
      <w:pPr>
        <w:pStyle w:val="ad"/>
        <w:rPr>
          <w:rFonts w:ascii="David" w:hAnsi="David" w:cs="David"/>
        </w:rPr>
      </w:pPr>
    </w:p>
    <w:p w:rsidR="009B38A4" w:rsidRPr="00093D69" w:rsidRDefault="009B38A4" w:rsidP="008E5A8F">
      <w:pPr>
        <w:pStyle w:val="2"/>
        <w:numPr>
          <w:ilvl w:val="0"/>
          <w:numId w:val="1"/>
        </w:numPr>
        <w:spacing w:line="360" w:lineRule="auto"/>
        <w:jc w:val="both"/>
        <w:rPr>
          <w:rFonts w:ascii="David" w:hAnsi="David"/>
          <w:rtl/>
        </w:rPr>
      </w:pPr>
      <w:r w:rsidRPr="00093D69">
        <w:rPr>
          <w:rFonts w:ascii="David" w:hAnsi="David"/>
          <w:rtl/>
        </w:rPr>
        <w:t xml:space="preserve">בחקירתה אישרה הנתבעת, כי נהגה על רכב </w:t>
      </w:r>
      <w:r w:rsidR="003C2FED" w:rsidRPr="00093D69">
        <w:rPr>
          <w:rFonts w:ascii="David" w:hAnsi="David"/>
        </w:rPr>
        <w:t>x</w:t>
      </w:r>
      <w:r w:rsidRPr="00093D69">
        <w:rPr>
          <w:rFonts w:ascii="David" w:hAnsi="David"/>
          <w:rtl/>
        </w:rPr>
        <w:t xml:space="preserve"> שנתון 2024, אותו מימן התובע בליסינג וכן לא הכחישה כי הצדדים התגוררו בבית רחב ידיים (ר' בעמ' 36 לפרוט'). ברם ובהמשך לטענותיה בדבר האלימות הכלכלית, טענה כי למדה </w:t>
      </w:r>
      <w:r w:rsidR="008E5A8F" w:rsidRPr="00093D69">
        <w:rPr>
          <w:rFonts w:ascii="David" w:hAnsi="David"/>
        </w:rPr>
        <w:t>xx</w:t>
      </w:r>
      <w:r w:rsidRPr="00093D69">
        <w:rPr>
          <w:rFonts w:ascii="David" w:hAnsi="David"/>
          <w:rtl/>
        </w:rPr>
        <w:t xml:space="preserve"> כדי לצאת מן התלות הכספית בתובע (ר' בעמ' 38, ש' 3-7 לפרוט').</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בהיבט הכלכלי, והגם שדומה כי הנתבעת לא עמדה בנטל ההוכחה הגבוה הנדרש בהליך זה להוכחת מלוא טענותיה; אזי אין ספק, כי למקרא תכתובותיהם הענפות של הצדדים, עולה כי ההיבט הכלכלי היה סלע מחלוקת ניכר ביחסי הצדדים, דבר שדומה שניכר אף באופן ההמשגה הכלכלית של הולדת הקטינה ע"י התובע (כעולה מטענותיו בדבר העלויות הכרוכות בכך); כך גם אין ספק, כי היתה קיימת תלות כלכלית אנכית בין הצדדים; כאשר התובע אמון על פרנסת הבית ודאגה לצרכים השוטפים, והנתבעת אמונה על נטל הטיפול העיקרי בקטינה, דבר שדומה כאמור שהתובע עצמו אינו מכחיש כלל ועיקר.</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lastRenderedPageBreak/>
        <w:t xml:space="preserve">אשר לאישומיו הפליליים של התובע, זה אישר כי אכן הסתבך בשני אירועים הנוגעים לגניבת ציוד ונשפט על כך. </w:t>
      </w:r>
      <w:r w:rsidRPr="00093D69">
        <w:rPr>
          <w:rFonts w:ascii="David" w:hAnsi="David"/>
          <w:u w:val="single"/>
          <w:rtl/>
        </w:rPr>
        <w:t>בחוות דעתו ובחקירתו לא התעלם המומחה מהתמיהה העולה מהתנהלותו זו של התובע</w:t>
      </w:r>
      <w:r w:rsidRPr="00093D69">
        <w:rPr>
          <w:rFonts w:ascii="David" w:hAnsi="David"/>
          <w:i/>
          <w:iCs/>
          <w:rtl/>
        </w:rPr>
        <w:t xml:space="preserve"> (</w:t>
      </w:r>
      <w:r w:rsidRPr="00093D69">
        <w:rPr>
          <w:rFonts w:ascii="David" w:hAnsi="David"/>
          <w:rtl/>
        </w:rPr>
        <w:t xml:space="preserve">ר' בעמ' 45, ש' 9-15 לפרוט' מיום 15.9.2024 וכן בעמ' 11 לחוות הדעת); </w:t>
      </w:r>
      <w:r w:rsidRPr="00093D69">
        <w:rPr>
          <w:rFonts w:ascii="David" w:hAnsi="David"/>
          <w:u w:val="single"/>
          <w:rtl/>
        </w:rPr>
        <w:t>יחד עם זאת, טען כי אין בכך להוות סכנה לקטינה בהתאם לגדרו של החריג הנבחן כאן</w:t>
      </w:r>
      <w:r w:rsidRPr="00093D69">
        <w:rPr>
          <w:rFonts w:ascii="David" w:hAnsi="David"/>
          <w:rtl/>
        </w:rPr>
        <w:t xml:space="preserve"> (ר' כאמור שם: "</w:t>
      </w:r>
      <w:r w:rsidRPr="00093D69">
        <w:rPr>
          <w:rFonts w:ascii="David" w:hAnsi="David"/>
          <w:b/>
          <w:bCs/>
          <w:rtl/>
        </w:rPr>
        <w:t>אני לא מקל ראש בעבירות, גם ציינתי שקשה לי להבין איך בן אדם במעמדו ומצבו בחיים הגיע לעבירות כאלה שהודה בכל מה שהואשם בו, אבל אני לא חושב כי זה מסוג עבירה שמעמידה את הילדה בסכנה ברמה של חוק אמנת האג</w:t>
      </w:r>
      <w:r w:rsidRPr="00093D69">
        <w:rPr>
          <w:rFonts w:ascii="David" w:hAnsi="David"/>
          <w:rtl/>
        </w:rPr>
        <w:t>.").</w:t>
      </w:r>
    </w:p>
    <w:p w:rsidR="009B38A4" w:rsidRPr="00093D69" w:rsidRDefault="009B38A4" w:rsidP="009B38A4">
      <w:pPr>
        <w:pStyle w:val="2"/>
        <w:spacing w:line="360" w:lineRule="auto"/>
        <w:jc w:val="both"/>
        <w:rPr>
          <w:rFonts w:ascii="David" w:hAnsi="David"/>
        </w:rPr>
      </w:pPr>
    </w:p>
    <w:p w:rsidR="009B38A4" w:rsidRPr="00093D69" w:rsidRDefault="009B38A4" w:rsidP="009B4E26">
      <w:pPr>
        <w:pStyle w:val="2"/>
        <w:numPr>
          <w:ilvl w:val="0"/>
          <w:numId w:val="1"/>
        </w:numPr>
        <w:spacing w:line="360" w:lineRule="auto"/>
        <w:jc w:val="both"/>
        <w:rPr>
          <w:rFonts w:ascii="David" w:hAnsi="David"/>
        </w:rPr>
      </w:pPr>
      <w:r w:rsidRPr="00093D69">
        <w:rPr>
          <w:rFonts w:ascii="David" w:hAnsi="David"/>
          <w:rtl/>
        </w:rPr>
        <w:t>בנוסף לכך, התובע אישר כי נוטל תרופות קבועות, הן בהמשך לניתוח</w:t>
      </w:r>
      <w:r w:rsidR="00E46EBC" w:rsidRPr="00093D69">
        <w:rPr>
          <w:rFonts w:ascii="David" w:hAnsi="David"/>
          <w:rtl/>
        </w:rPr>
        <w:t xml:space="preserve"> </w:t>
      </w:r>
      <w:r w:rsidR="00E46EBC" w:rsidRPr="00093D69">
        <w:rPr>
          <w:rFonts w:ascii="David" w:hAnsi="David"/>
        </w:rPr>
        <w:t>z</w:t>
      </w:r>
      <w:r w:rsidRPr="00093D69">
        <w:rPr>
          <w:rFonts w:ascii="David" w:hAnsi="David"/>
          <w:rtl/>
        </w:rPr>
        <w:t xml:space="preserve"> מורכב שעבר, והן להתקפי חרדה מהם הוא סובל (ר' בעמ' 22 לפרוט' מיום 2.9.2024). הנתבעת טענה מנגד כי הוא נוטל תרופות פסיכיאטריות הניתנות להפרעה </w:t>
      </w:r>
      <w:r w:rsidR="009B4E26">
        <w:rPr>
          <w:rFonts w:ascii="David" w:hAnsi="David"/>
        </w:rPr>
        <w:t>xx</w:t>
      </w:r>
      <w:r w:rsidRPr="00093D69">
        <w:rPr>
          <w:rFonts w:ascii="David" w:hAnsi="David"/>
          <w:rtl/>
        </w:rPr>
        <w:t xml:space="preserve">. עוד הוסיפה וטענה כי התובע משתמש בסמים דרך קבע, ונהג לעשות כן במחיצתה ובמחיצת הקטינה.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בחקירתה אישרה הנתבעת שידעה כי התובע נוטל כדורים נגד סטרס, מתח ודיכאון (ר' בעמ' 33, ש' 19) בהמשך נודע לה על השימוש בסמים, מחודש פברואר 2023 לערך, היא ראתה את התובע מרסק את הכדורים שלו ומסניף אותם, אולם לא רצתה להאמין שזה נכון (ר' בעמ' 32 ש' 17-24 לפרוט' מיום 2.9.2024). כשנשאלה מדוע המשיכה את מערכת היחסים הזוגית, חרף הגילוי הנטען, השיבה בצורה לא עניינית, המלמדת בעיקרה על התרופפות הקשר: "</w:t>
      </w:r>
      <w:r w:rsidRPr="00093D69">
        <w:rPr>
          <w:rFonts w:ascii="David" w:hAnsi="David"/>
          <w:b/>
          <w:bCs/>
          <w:rtl/>
        </w:rPr>
        <w:t xml:space="preserve">למה את קוראת מערכת יחסים? אני עברתי איתו דברים מאד קשים כשאני עמדתי לצידו, לא חיפשתי עכשיו יש דברים טובים ויש דברים לא, כמו היעלמויות בלילות כמו שאני מגלה שהוא בתא מעצר ואני באה </w:t>
      </w:r>
      <w:r w:rsidRPr="00093D69">
        <w:rPr>
          <w:rFonts w:ascii="David" w:hAnsi="David"/>
          <w:b/>
          <w:bCs/>
          <w:rtl/>
        </w:rPr>
        <w:lastRenderedPageBreak/>
        <w:t>לשחרר אותו</w:t>
      </w:r>
      <w:r w:rsidRPr="00093D69">
        <w:rPr>
          <w:rFonts w:ascii="David" w:hAnsi="David"/>
          <w:rtl/>
        </w:rPr>
        <w:t xml:space="preserve">" (ר' בעמ' 34, ש' 1-3 לפרוט'). לעניין טענתה אודות אבחנתו הפסיכיאטרית של התובע, עולה כי לכך לא ניתן ביסוס מטעמה (ר' בעמ' 33 לפרוט'). </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 לאחר בדיקה טלפונית עם רופא המשפחה המטפל בתובע, ציין המומחה בחוות דעתו כי לא עלו ממצאים המבססים את טענת הנתבעת אודות מצבו הפסיכיאטרי הנטען של התובע ("</w:t>
      </w:r>
      <w:r w:rsidRPr="00093D69">
        <w:rPr>
          <w:rFonts w:ascii="David" w:hAnsi="David"/>
          <w:b/>
          <w:bCs/>
          <w:rtl/>
        </w:rPr>
        <w:t>מהשיחה שלי עם רופא המשפחה הבנתי כי אין לאב כל אבחנה פסיכיאטרית שאין משהו נפשי  שמשפיע על חייו ואופן התנהלותו</w:t>
      </w:r>
      <w:r w:rsidRPr="00093D69">
        <w:rPr>
          <w:rFonts w:ascii="David" w:hAnsi="David"/>
          <w:rtl/>
        </w:rPr>
        <w:t>."). עוד אישר רופא המשפחה את טיב הטיפול התרופתי שמקבל התובע בהתאם לגרסתו (ר' בעמ' 46-47 וכן בעמ' 49 לפרוט' מיום 15.9.2024); כאשר לא נעלמה מעיני הערת המומחה בחקירתו, כי הדבר חורג מתחום מומחיותו (ר' בעמ' 47, ש' 9-14); כל זאת, כי גם טענות מסוג זה מקומן בגדרי הליך בענין משמורת הקטינה בהבדל מההליך דנא.</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u w:val="single"/>
          <w:rtl/>
        </w:rPr>
      </w:pPr>
      <w:r w:rsidRPr="00093D69">
        <w:rPr>
          <w:rFonts w:ascii="David" w:hAnsi="David"/>
          <w:rtl/>
        </w:rPr>
        <w:t xml:space="preserve"> המומחה טען מחד כי ככל והאב משתמש בסמים ויש בשימוש זה להעמידו במקום של חוסר הבנה ושיפוט ופגיעה בתפקוד, הרי שיש בכך להעמיד את הקטינה בסכנה, אולם מנגד הבהיר כי לא נמצאו אינדקציות לכך ואף מטעם האם לא נטען כי השימוש בסמים הביאוהו לכדי אלימות כלפי הקטינה (ר' בעמ' 50 לפרוט'). </w:t>
      </w:r>
      <w:r w:rsidRPr="00093D69">
        <w:rPr>
          <w:rFonts w:ascii="David" w:hAnsi="David"/>
          <w:b/>
          <w:bCs/>
          <w:u w:val="single"/>
          <w:rtl/>
        </w:rPr>
        <w:t>אכן, מן הראיות שהובאו לפני, לא הוכח האמור</w:t>
      </w:r>
      <w:r w:rsidRPr="00093D69">
        <w:rPr>
          <w:rFonts w:ascii="David" w:hAnsi="David"/>
          <w:u w:val="single"/>
          <w:rtl/>
        </w:rPr>
        <w:t xml:space="preserve">. </w:t>
      </w:r>
    </w:p>
    <w:p w:rsidR="009B38A4" w:rsidRPr="00093D69" w:rsidRDefault="009B38A4" w:rsidP="009B38A4">
      <w:pPr>
        <w:pStyle w:val="2"/>
        <w:spacing w:line="360" w:lineRule="auto"/>
        <w:jc w:val="both"/>
        <w:rPr>
          <w:rFonts w:ascii="David" w:hAnsi="David"/>
          <w:rtl/>
        </w:rPr>
      </w:pPr>
      <w:r w:rsidRPr="00093D69">
        <w:rPr>
          <w:rFonts w:ascii="David" w:hAnsi="David"/>
          <w:rtl/>
        </w:rPr>
        <w:t xml:space="preserve"> </w:t>
      </w: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לעניין המלצת המומחה כי תיערך לאב בדיקת סמים, אזי דומה כי זו התייתרה וביתר שאת בהתאם לעמדת הנתבעת שטענה להיעדר טעם ורלוונטיות לעריכת בדיקה חד פעמית בעת הזו (ר' מענה ב"כ הנתבעת להצעת התובע לעריכת בדיקה, "</w:t>
      </w:r>
      <w:r w:rsidRPr="00093D69">
        <w:rPr>
          <w:rFonts w:ascii="David" w:hAnsi="David"/>
          <w:b/>
          <w:bCs/>
          <w:rtl/>
        </w:rPr>
        <w:t>לא עתה כשהוא נקי מסמים</w:t>
      </w:r>
      <w:r w:rsidRPr="00093D69">
        <w:rPr>
          <w:rFonts w:ascii="David" w:hAnsi="David"/>
          <w:rtl/>
        </w:rPr>
        <w:t>" בעמ' 50, ש' 14-17 לפרוט' מיום 15.9.2024), וכאשר מדובר בטענות שרובן ככולן נוגעות לסוגיית המשמורת, אשר דינן להתברר כדבעי במסגרת ההליך המתאים בבית המשפט המוסמך.</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כפי שאזכר זאת המומחה (ר' בעמ' 4 לחוות הדעת), לא ניתן להתעלם מטיבה של מערכת היחסים הייחודית שנרקמה בין הצדדים והחלטתם המשותפת להביא לעולם את הקטינה במהלך מתוכנן, שלו נדרשו משאבים רבים, חומריים, פיזיים ורגשיים. על רקע מצב דברים זה, קשה שלא להביע תמיהה אודות עצימות הטענות הקשות שמעלה הנתבעת כנגד התובע, </w:t>
      </w:r>
      <w:r w:rsidRPr="00093D69">
        <w:rPr>
          <w:rFonts w:ascii="David" w:hAnsi="David"/>
          <w:b/>
          <w:bCs/>
          <w:u w:val="single"/>
          <w:rtl/>
        </w:rPr>
        <w:t>עד כדי השחרת דמותו, בכל רובד,</w:t>
      </w:r>
      <w:r w:rsidRPr="00093D69">
        <w:rPr>
          <w:rFonts w:ascii="David" w:hAnsi="David"/>
          <w:rtl/>
        </w:rPr>
        <w:t xml:space="preserve"> אשר תחולתן קודמת להולדת הקטינה ואולי אף להורייתה ולהמשך הקשר הזוגי בין השניים עד לא מכבר; </w:t>
      </w:r>
      <w:r w:rsidRPr="00093D69">
        <w:rPr>
          <w:rFonts w:ascii="David" w:hAnsi="David"/>
          <w:b/>
          <w:bCs/>
          <w:u w:val="single"/>
          <w:rtl/>
        </w:rPr>
        <w:t>תמיהה זו, כאמור, מחלישה עד מאוד  את הגרסה העובדתית של הנתבעת לעניין זה (והדברים נאמרים על דרך ההמעטה)</w:t>
      </w:r>
      <w:r w:rsidRPr="00093D69">
        <w:rPr>
          <w:rFonts w:ascii="David" w:hAnsi="David"/>
          <w:rtl/>
        </w:rPr>
        <w:t>.</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כך או כך, לא מצאתי, כי עלה בידי הנתבעת להוכיח, את מכלול טענותיה בזיקה לטיבו של ההליך דנא ולמצער ברף הנכבד הנדרש; כאשר נפסק, כי ספק בקיומו של החריג מוביל לתוצאה בדבר השבת הקטין (ר' פרשת לויד סטגמן, לעיל).</w:t>
      </w:r>
    </w:p>
    <w:p w:rsidR="009B38A4" w:rsidRPr="00093D69" w:rsidRDefault="009B38A4" w:rsidP="009B38A4">
      <w:pPr>
        <w:rPr>
          <w:rFonts w:ascii="David" w:hAnsi="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הנתבעת בעצמה אישרה כי ביקשה מהתובע להיות נוכח יותר בטיפול היומיומי בקטינה ולשהות עימה, כעולה אף מההתכתבויות הענפות בין הצדדים, וכן טענה בחקירתה לעניין כמיהתה לחיי משפחה: "</w:t>
      </w:r>
      <w:r w:rsidRPr="00093D69">
        <w:rPr>
          <w:rFonts w:ascii="David" w:hAnsi="David"/>
          <w:b/>
          <w:bCs/>
          <w:rtl/>
        </w:rPr>
        <w:t>ברגעים שהוא היה בא הביתה הייתי מתמוגגת רציתי שיהיה  איתה אבל הוא היה בורח הוא לא רצה להיות שם בכלל</w:t>
      </w:r>
      <w:r w:rsidRPr="00093D69">
        <w:rPr>
          <w:rFonts w:ascii="David" w:hAnsi="David"/>
          <w:rtl/>
        </w:rPr>
        <w:t xml:space="preserve">." (ר' בעמ' 39, ש' 14-15 לפרוט'). </w:t>
      </w:r>
      <w:r w:rsidRPr="00093D69">
        <w:rPr>
          <w:rFonts w:ascii="David" w:hAnsi="David"/>
          <w:u w:val="single"/>
          <w:rtl/>
        </w:rPr>
        <w:t>ברי כי עמדה זו מצד הנתבעת עומדת בסתירה לאופן בו מוצג התובע עתה, ע"י הנתבעת, כאדם אלים וחסר יציבות באופן קיצוני כל כך שאסור שיימצא במחיצתה של הקטינה, בהיעדר פיקוח.</w:t>
      </w:r>
      <w:r w:rsidRPr="00093D69">
        <w:rPr>
          <w:rFonts w:ascii="David" w:hAnsi="David"/>
          <w:rtl/>
        </w:rPr>
        <w:t xml:space="preserve">   </w:t>
      </w:r>
    </w:p>
    <w:p w:rsidR="009B38A4" w:rsidRPr="00093D69" w:rsidRDefault="009B38A4" w:rsidP="009B38A4">
      <w:pPr>
        <w:pStyle w:val="ad"/>
        <w:rPr>
          <w:rFonts w:ascii="David" w:hAnsi="David" w:cs="David"/>
        </w:rPr>
      </w:pPr>
    </w:p>
    <w:p w:rsidR="009B38A4" w:rsidRPr="00093D69" w:rsidRDefault="009B38A4" w:rsidP="0096224B">
      <w:pPr>
        <w:pStyle w:val="2"/>
        <w:numPr>
          <w:ilvl w:val="0"/>
          <w:numId w:val="1"/>
        </w:numPr>
        <w:spacing w:line="360" w:lineRule="auto"/>
        <w:jc w:val="both"/>
        <w:rPr>
          <w:rFonts w:ascii="David" w:hAnsi="David"/>
          <w:rtl/>
        </w:rPr>
      </w:pPr>
      <w:r w:rsidRPr="00093D69">
        <w:rPr>
          <w:rFonts w:ascii="David" w:hAnsi="David"/>
          <w:u w:val="single"/>
          <w:rtl/>
        </w:rPr>
        <w:lastRenderedPageBreak/>
        <w:t>מצג זה אף אינו מתיישב עם ממצאי בדיקת האינטרקציה בין האב לקטינה, עת ציין המומחה את אופיו ומהלכו החיובי של המפגש ביניהם</w:t>
      </w:r>
      <w:r w:rsidRPr="00093D69">
        <w:rPr>
          <w:rFonts w:ascii="David" w:hAnsi="David"/>
          <w:rtl/>
        </w:rPr>
        <w:t xml:space="preserve">; </w:t>
      </w:r>
      <w:r w:rsidRPr="00093D69">
        <w:rPr>
          <w:rFonts w:ascii="David" w:hAnsi="David"/>
          <w:b/>
          <w:bCs/>
          <w:rtl/>
        </w:rPr>
        <w:t>"</w:t>
      </w:r>
      <w:r w:rsidR="0096224B" w:rsidRPr="00093D69">
        <w:rPr>
          <w:rFonts w:ascii="David" w:hAnsi="David"/>
          <w:b/>
          <w:bCs/>
        </w:rPr>
        <w:t xml:space="preserve"> xxx </w:t>
      </w:r>
      <w:r w:rsidR="0096224B" w:rsidRPr="00093D69">
        <w:rPr>
          <w:rFonts w:ascii="David" w:hAnsi="David"/>
          <w:b/>
          <w:bCs/>
          <w:rtl/>
        </w:rPr>
        <w:t xml:space="preserve"> </w:t>
      </w:r>
      <w:r w:rsidR="0096224B" w:rsidRPr="00093D69">
        <w:rPr>
          <w:rFonts w:ascii="David" w:hAnsi="David"/>
          <w:rtl/>
        </w:rPr>
        <w:t>(הקטינה – ה.מ.ש)</w:t>
      </w:r>
      <w:r w:rsidR="0096224B" w:rsidRPr="00093D69">
        <w:rPr>
          <w:rFonts w:ascii="David" w:hAnsi="David"/>
          <w:b/>
          <w:bCs/>
          <w:rtl/>
        </w:rPr>
        <w:t xml:space="preserve"> </w:t>
      </w:r>
      <w:r w:rsidRPr="00093D69">
        <w:rPr>
          <w:rFonts w:ascii="David" w:hAnsi="David"/>
          <w:b/>
          <w:bCs/>
          <w:rtl/>
        </w:rPr>
        <w:t xml:space="preserve"> קיבלה את בשמחה, ניגשה אליו בקלות והפגינה כלפיו נעימות ונינוחות ללא כל סייג. לא היה ניתן להבחין בכך כי מדובר בפגישה שלישית בלבד שלה עם האב אותה ראה בפעם הראשונה מספר ימים קודם לכן וזאת לאחר שמזה כמעט חצי שנה לא ראתה אותו בכלל." </w:t>
      </w:r>
      <w:r w:rsidRPr="00093D69">
        <w:rPr>
          <w:rFonts w:ascii="David" w:hAnsi="David"/>
          <w:rtl/>
        </w:rPr>
        <w:t xml:space="preserve">(ר' בעמ' 9 לחוות הדעת). עוד הוסיף המומחה כי לא ניתן היה להבחין בסימן בעייתי כלשהו בהתנהלות האב עם הקטינה וכי מצד הקטינה הובעה עדיפות מסוימת כלפי האב, אף בנוכחותה של הנתבעת. </w:t>
      </w:r>
    </w:p>
    <w:p w:rsidR="009B38A4" w:rsidRPr="00093D69" w:rsidRDefault="009B38A4" w:rsidP="009B38A4">
      <w:pPr>
        <w:pStyle w:val="ad"/>
        <w:rPr>
          <w:rFonts w:ascii="David" w:hAnsi="David" w:cs="David"/>
          <w:b/>
          <w:bCs/>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יתר על כן, וחרף ניסיונה של הנתבעת ליצירת מצג של בדידות מוחלטת בארה"ב, ותוך בחינת יתר הנסיבות, יש ליתן משקל אף לעובדה, כי אחיה של הנתבעת וגיסתה מתגוררים בארה"ב; כמו גם כי קיימת מערכת משפחתית משמעותית לקטינה, בדמות אחיה למחצה וילדיהם, שהינם אחייני הקטינה, וכן סבתה של הקטינה ודודיה מצד האב; כל זאת נאמר  מבלי להתעלם מהיות משפחת האם בישראל או לקבוע מסמרות לעניין שיקולי משמורת אלא אך בזיקה לטיבו של ההליך דנא בראי טענות הנתבעת.</w:t>
      </w:r>
    </w:p>
    <w:p w:rsidR="009B38A4" w:rsidRPr="00093D69" w:rsidRDefault="009B38A4" w:rsidP="009B38A4">
      <w:pPr>
        <w:pStyle w:val="2"/>
        <w:spacing w:line="360" w:lineRule="auto"/>
        <w:jc w:val="both"/>
        <w:rPr>
          <w:rFonts w:ascii="David" w:hAnsi="David"/>
          <w:b/>
          <w:bCs/>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בנסיבות אלה ולאור כל שפורט לעיל, ובהינתן נטל ההוכחה הכבד המוטל על הטוען להתקיימות החריג בס' 13(ב) וכן לאור חוות דעת המומחה אשר מצאתי לקבלה, ומשזו לא נסתרה ע"י מי מהצדדים, לא מצאתי לקבל טענת הנתבעת בדבר התקיימות חריג זה והיא נדחית בזו.</w:t>
      </w:r>
    </w:p>
    <w:p w:rsidR="009B38A4" w:rsidRPr="00093D69" w:rsidRDefault="009B38A4" w:rsidP="009B38A4">
      <w:pPr>
        <w:pStyle w:val="ad"/>
        <w:rPr>
          <w:rFonts w:ascii="David" w:hAnsi="David" w:cs="David"/>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מכלל האמור לעיל, עולה כי יש להורות על החזרת הקטינה לארה"ב; אך זאת בכפוף לקביעת התנאים להלן, המתיישבים ברובם אף עם המלצותיו המפורשות של המומחה בחוות דעתו, כאמור לעיל.</w:t>
      </w:r>
    </w:p>
    <w:p w:rsidR="009B38A4" w:rsidRPr="00093D69" w:rsidRDefault="009B38A4" w:rsidP="009B38A4">
      <w:pPr>
        <w:pStyle w:val="ad"/>
        <w:rPr>
          <w:rFonts w:ascii="David" w:hAnsi="David" w:cs="David"/>
        </w:rPr>
      </w:pPr>
    </w:p>
    <w:p w:rsidR="009B38A4" w:rsidRPr="00093D69" w:rsidRDefault="009B38A4" w:rsidP="009B38A4">
      <w:pPr>
        <w:ind w:firstLine="360"/>
        <w:rPr>
          <w:rFonts w:ascii="David" w:hAnsi="David"/>
          <w:b/>
          <w:bCs/>
          <w:u w:val="single"/>
          <w:rtl/>
        </w:rPr>
      </w:pPr>
      <w:r w:rsidRPr="00093D69">
        <w:rPr>
          <w:rFonts w:ascii="David" w:hAnsi="David"/>
          <w:b/>
          <w:bCs/>
          <w:u w:val="single"/>
          <w:rtl/>
        </w:rPr>
        <w:t xml:space="preserve">קביעת תנאים להחזרתה של הקטינה מכוח אמנת האג </w:t>
      </w:r>
    </w:p>
    <w:p w:rsidR="009852AF" w:rsidRPr="00093D69" w:rsidRDefault="009852AF" w:rsidP="009B38A4">
      <w:pPr>
        <w:ind w:firstLine="360"/>
        <w:rPr>
          <w:rFonts w:ascii="David" w:hAnsi="David"/>
          <w:b/>
          <w:bCs/>
          <w:u w:val="single"/>
          <w:rtl/>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 xml:space="preserve">לאור תוצאת הכרעתי זו, בדבר דחיית טענות ההגנה של הנתבעת וכן התקיימות התנאים המורים על החזרתה של הקטינה לארה"ב ובנסיבותיו המורכבות של מקרה זה, מצאתי להורות כן </w:t>
      </w:r>
      <w:r w:rsidRPr="00093D69">
        <w:rPr>
          <w:rFonts w:ascii="David" w:hAnsi="David"/>
          <w:b/>
          <w:bCs/>
          <w:u w:val="single"/>
          <w:rtl/>
        </w:rPr>
        <w:t>כפוף</w:t>
      </w:r>
      <w:r w:rsidRPr="00093D69">
        <w:rPr>
          <w:rFonts w:ascii="David" w:hAnsi="David"/>
          <w:rtl/>
        </w:rPr>
        <w:t xml:space="preserve"> לקביעת התנאים המתאימים להשבתה של הקטינה כאמור וכפי שיפורט בהרחבה להלן.</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אין חולק כי נכון לעת הזו אין לנתבעת מקום מגורים לשוב אליו בארה"ב. לאחר שפינה את דירת המגורים המשותפת בה התגוררו הצדדים לאחרונה, עבר התובע להתגורר בבית אמו, שם מקום מגוריו הנוכחי (ר' עדות התובע בדיון מיום 27.8.2024, בעמ' 2).</w:t>
      </w:r>
    </w:p>
    <w:p w:rsidR="009B38A4" w:rsidRPr="00093D69" w:rsidRDefault="009B38A4" w:rsidP="009B38A4">
      <w:pPr>
        <w:pStyle w:val="2"/>
        <w:spacing w:line="360" w:lineRule="auto"/>
        <w:jc w:val="both"/>
        <w:rPr>
          <w:rFonts w:ascii="David" w:hAnsi="David"/>
        </w:rPr>
      </w:pPr>
    </w:p>
    <w:p w:rsidR="009B38A4" w:rsidRPr="00093D69" w:rsidRDefault="009B38A4" w:rsidP="009B38A4">
      <w:pPr>
        <w:pStyle w:val="2"/>
        <w:numPr>
          <w:ilvl w:val="0"/>
          <w:numId w:val="1"/>
        </w:numPr>
        <w:spacing w:line="360" w:lineRule="auto"/>
        <w:jc w:val="both"/>
        <w:rPr>
          <w:rFonts w:ascii="David" w:hAnsi="David"/>
        </w:rPr>
      </w:pPr>
      <w:r w:rsidRPr="00093D69">
        <w:rPr>
          <w:rFonts w:ascii="David" w:hAnsi="David"/>
          <w:rtl/>
        </w:rPr>
        <w:t xml:space="preserve">עוד אין חולק כי מני עזיבת הנתבעת לישראל, התובע לא נושא במזונות הקטינה והנתבעת היא שנושאת בנטל גידולה, לרבות בהיבט הכלכלי;  הגם שכך, התובע אינו מתכחש לחבותו לממן את צרכי הקטינה, כפי שנהג לעשות כן, קודם הפירוד בין הצדדים. </w:t>
      </w:r>
    </w:p>
    <w:p w:rsidR="009B38A4" w:rsidRPr="00093D69" w:rsidRDefault="009B38A4" w:rsidP="009B38A4">
      <w:pPr>
        <w:pStyle w:val="ad"/>
        <w:rPr>
          <w:rFonts w:ascii="David" w:hAnsi="David" w:cs="David"/>
        </w:rPr>
      </w:pPr>
    </w:p>
    <w:p w:rsidR="009B38A4" w:rsidRPr="00093D69" w:rsidRDefault="009B38A4" w:rsidP="00B441B1">
      <w:pPr>
        <w:pStyle w:val="2"/>
        <w:numPr>
          <w:ilvl w:val="0"/>
          <w:numId w:val="1"/>
        </w:numPr>
        <w:spacing w:line="360" w:lineRule="auto"/>
        <w:jc w:val="both"/>
        <w:rPr>
          <w:rFonts w:ascii="David" w:hAnsi="David"/>
          <w:b/>
          <w:bCs/>
          <w:u w:val="single"/>
          <w:rtl/>
        </w:rPr>
      </w:pPr>
      <w:r w:rsidRPr="00093D69">
        <w:rPr>
          <w:rFonts w:ascii="David" w:hAnsi="David"/>
          <w:rtl/>
        </w:rPr>
        <w:t>בנוסף לכל זה, עולה כי התובע מכיר ומודע לצורך בקביעת תנאים להסדרת אופן החזרתה של הקטינה לארה"ב, לרבות הסדרת מקום מגורים עבורה ועבור הנתבעת וכן מימון צרכיה החודשיים, למצער לפרק זמן של תשעה חודשים; כך אישר במסגרת הדיון שנערך לפני ביום 27.8.2024: "</w:t>
      </w:r>
      <w:r w:rsidRPr="00093D69">
        <w:rPr>
          <w:rFonts w:ascii="David" w:hAnsi="David"/>
          <w:b/>
          <w:bCs/>
          <w:rtl/>
        </w:rPr>
        <w:t xml:space="preserve">יש </w:t>
      </w:r>
      <w:r w:rsidR="00B441B1" w:rsidRPr="00093D69">
        <w:rPr>
          <w:rFonts w:ascii="David" w:hAnsi="David"/>
          <w:b/>
          <w:bCs/>
          <w:rtl/>
        </w:rPr>
        <w:t xml:space="preserve">לי דירה בבעלותי ברחוב </w:t>
      </w:r>
      <w:r w:rsidR="00B441B1" w:rsidRPr="00093D69">
        <w:rPr>
          <w:rFonts w:ascii="David" w:hAnsi="David"/>
          <w:b/>
          <w:bCs/>
        </w:rPr>
        <w:t>XXXX</w:t>
      </w:r>
      <w:r w:rsidRPr="00093D69">
        <w:rPr>
          <w:rFonts w:ascii="David" w:hAnsi="David"/>
          <w:b/>
          <w:bCs/>
          <w:rtl/>
        </w:rPr>
        <w:t xml:space="preserve">. אני בונה בכמה מקומות. יש לי כרגע דירה פנויה שהכתובת שלה היא </w:t>
      </w:r>
      <w:r w:rsidR="00B441B1" w:rsidRPr="00093D69">
        <w:rPr>
          <w:rFonts w:ascii="David" w:hAnsi="David"/>
          <w:b/>
          <w:bCs/>
        </w:rPr>
        <w:t>XXXXXXX</w:t>
      </w:r>
      <w:r w:rsidRPr="00093D69">
        <w:rPr>
          <w:rFonts w:ascii="David" w:hAnsi="David"/>
          <w:b/>
          <w:bCs/>
          <w:rtl/>
        </w:rPr>
        <w:t xml:space="preserve">. דירה בת 5 חדרים עם גג, דירה חדשה שאני יכול לתת לנתבעת להתגורר עם הקטינה למשך עד שנה ללא עלות. לגבי </w:t>
      </w:r>
      <w:r w:rsidRPr="00093D69">
        <w:rPr>
          <w:rFonts w:ascii="David" w:hAnsi="David"/>
          <w:b/>
          <w:bCs/>
          <w:rtl/>
        </w:rPr>
        <w:lastRenderedPageBreak/>
        <w:t>מזונות, אף פעם לא התכחשתי לזה, היא פשוט נעלמה. אני מוכן לתת לנתבעת על חשבון מזונות הקטינה סכום כסף. אני לא יודע בדיוק מה הצרכים, אני בטוח שהיא תחיה ברווחה הילדה ושיהיה לה כל מה שהיא צריכה.</w:t>
      </w:r>
      <w:r w:rsidRPr="00093D69">
        <w:rPr>
          <w:rFonts w:ascii="David" w:hAnsi="David"/>
          <w:rtl/>
        </w:rPr>
        <w:t xml:space="preserve">" (ר' בעמ' 10, ש' 30-34 לפרוט' מיום 27.8.2024). </w:t>
      </w:r>
    </w:p>
    <w:p w:rsidR="009B38A4" w:rsidRPr="00093D69" w:rsidRDefault="009B38A4" w:rsidP="009B38A4">
      <w:pPr>
        <w:pStyle w:val="ad"/>
        <w:rPr>
          <w:rFonts w:ascii="David" w:hAnsi="David" w:cs="David"/>
          <w:b/>
          <w:bCs/>
          <w:u w:val="single"/>
        </w:rPr>
      </w:pPr>
    </w:p>
    <w:p w:rsidR="009B38A4" w:rsidRPr="00093D69" w:rsidRDefault="009B38A4" w:rsidP="009B38A4">
      <w:pPr>
        <w:pStyle w:val="2"/>
        <w:numPr>
          <w:ilvl w:val="0"/>
          <w:numId w:val="1"/>
        </w:numPr>
        <w:spacing w:line="360" w:lineRule="auto"/>
        <w:jc w:val="both"/>
        <w:rPr>
          <w:rFonts w:ascii="David" w:hAnsi="David"/>
          <w:b/>
          <w:bCs/>
          <w:u w:val="single"/>
          <w:rtl/>
        </w:rPr>
      </w:pPr>
      <w:r w:rsidRPr="00093D69">
        <w:rPr>
          <w:rFonts w:ascii="David" w:hAnsi="David"/>
          <w:rtl/>
        </w:rPr>
        <w:t>לצד זאת ראוי לציין, כי מחקירתו של התובע בהמשך, בדיון מיום 2.9.2024 עלה כי הדירה שאותה הציע למגורי הקטינה והנתבעת ממוקמת באזור פחות טוב מהאזור שבו חיו בני הזוג עם הקטינה (</w:t>
      </w:r>
      <w:r w:rsidR="00B441B1" w:rsidRPr="00093D69">
        <w:rPr>
          <w:rFonts w:ascii="David" w:hAnsi="David"/>
          <w:b/>
          <w:bCs/>
          <w:sz w:val="22"/>
          <w:szCs w:val="22"/>
          <w:rtl/>
        </w:rPr>
        <w:t>"</w:t>
      </w:r>
      <w:r w:rsidR="00B441B1" w:rsidRPr="00093D69">
        <w:rPr>
          <w:rFonts w:ascii="David" w:hAnsi="David"/>
          <w:b/>
          <w:bCs/>
          <w:sz w:val="22"/>
          <w:szCs w:val="22"/>
        </w:rPr>
        <w:t>XXXXX</w:t>
      </w:r>
      <w:r w:rsidRPr="00093D69">
        <w:rPr>
          <w:rFonts w:ascii="David" w:hAnsi="David"/>
          <w:b/>
          <w:bCs/>
          <w:sz w:val="22"/>
          <w:szCs w:val="22"/>
          <w:rtl/>
        </w:rPr>
        <w:t xml:space="preserve">. זה לא אזור יהודי כל כך. זה פחות לטעמי ולטעמה. רצינו לגור באזור יותר טוב. ש. ולשם רצית לשלוח אותה בדיון הקודם? לשם רצית שבימ"ש ישלח אותה? ת. האזור הזה הוא אזור נחמד מאד לגויים או ליהודים או למי שרוצה לגור לטעמי אני רצתי לגור באזור אחר, ליד המשפחה שלי. כשהיא שאלה אם יש לי בית שאני יכול לתת לה אמרתי שאני בעלים של בתים באזור הזה. אתה רוצה שאני אראה לך? אני אראה לך את הבתים האלה, הם בתים מאד יפים, בא תתרשם מהם, </w:t>
      </w:r>
      <w:r w:rsidRPr="00093D69">
        <w:rPr>
          <w:rFonts w:ascii="David" w:hAnsi="David"/>
          <w:sz w:val="22"/>
          <w:szCs w:val="22"/>
          <w:rtl/>
        </w:rPr>
        <w:t>עמ' 20 לפרוט', ש' 17-22).</w:t>
      </w:r>
    </w:p>
    <w:p w:rsidR="009B38A4" w:rsidRPr="00093D69" w:rsidRDefault="009B38A4" w:rsidP="009B38A4">
      <w:pPr>
        <w:pStyle w:val="ad"/>
        <w:rPr>
          <w:rFonts w:ascii="David" w:hAnsi="David" w:cs="David"/>
          <w:b/>
          <w:bCs/>
          <w:u w:val="single"/>
          <w:rtl/>
        </w:rPr>
      </w:pPr>
    </w:p>
    <w:p w:rsidR="009B38A4" w:rsidRPr="00093D69" w:rsidRDefault="009B38A4" w:rsidP="009B38A4">
      <w:pPr>
        <w:pStyle w:val="2"/>
        <w:numPr>
          <w:ilvl w:val="0"/>
          <w:numId w:val="1"/>
        </w:numPr>
        <w:spacing w:line="360" w:lineRule="auto"/>
        <w:jc w:val="both"/>
        <w:rPr>
          <w:rFonts w:ascii="David" w:hAnsi="David"/>
          <w:rtl/>
        </w:rPr>
      </w:pPr>
      <w:r w:rsidRPr="00093D69">
        <w:rPr>
          <w:rFonts w:ascii="David" w:hAnsi="David"/>
          <w:rtl/>
        </w:rPr>
        <w:t>אשר על כן ולאור המקובץ לעיל  מצאתי להורות כי החזרת הקטינה לארה"ה תבוצע כפוף למילוי התנאים שלהלן:</w:t>
      </w:r>
    </w:p>
    <w:p w:rsidR="009B38A4" w:rsidRPr="00093D69" w:rsidRDefault="009B38A4" w:rsidP="00234528">
      <w:pPr>
        <w:pStyle w:val="2"/>
        <w:numPr>
          <w:ilvl w:val="0"/>
          <w:numId w:val="4"/>
        </w:numPr>
        <w:spacing w:line="360" w:lineRule="auto"/>
        <w:jc w:val="both"/>
        <w:rPr>
          <w:rFonts w:ascii="David" w:hAnsi="David"/>
          <w:b/>
          <w:bCs/>
          <w:u w:val="single"/>
        </w:rPr>
      </w:pPr>
      <w:r w:rsidRPr="00093D69">
        <w:rPr>
          <w:rFonts w:ascii="David" w:hAnsi="David"/>
          <w:rtl/>
        </w:rPr>
        <w:t xml:space="preserve">התובע יפקיד בידיהם הנאמנות של ב"כ הצדדים בתוך 20 יום סך של </w:t>
      </w:r>
      <w:r w:rsidR="00234528" w:rsidRPr="00093D69">
        <w:rPr>
          <w:rFonts w:ascii="David" w:hAnsi="David"/>
          <w:rtl/>
        </w:rPr>
        <w:t>60</w:t>
      </w:r>
      <w:r w:rsidRPr="00093D69">
        <w:rPr>
          <w:rFonts w:ascii="David" w:hAnsi="David"/>
          <w:rtl/>
        </w:rPr>
        <w:t xml:space="preserve">,000 דולר להבטחת אמצעי מחייה לנתבעת ולקטינה. סכום זה יהווה מקדמה </w:t>
      </w:r>
      <w:r w:rsidR="00B530A8" w:rsidRPr="00093D69">
        <w:rPr>
          <w:rFonts w:ascii="David" w:hAnsi="David"/>
          <w:i/>
          <w:iCs/>
          <w:rtl/>
        </w:rPr>
        <w:t xml:space="preserve"> </w:t>
      </w:r>
      <w:r w:rsidRPr="00093D69">
        <w:rPr>
          <w:rFonts w:ascii="David" w:hAnsi="David"/>
          <w:rtl/>
        </w:rPr>
        <w:t>על חשבון מזונות כפי שייפסקו על ידי בית המשפט המוסמך בארה"ב; זאת כאשר סך של 12,000 דולר יועברו לידי הנתבעת קודם לחזרתה לארה"ב, על מנת שישמשו בידה להתארגנות ראשונית ויתרה הסכום תועבר לידיה ע"י ב"כ הצדדים 20 יום לאחר הגעתה לארה"ב; ב"כ הצדדים יפתחו חשבון נאמנות לצורך ניהול הפקדון.</w:t>
      </w:r>
    </w:p>
    <w:p w:rsidR="009B38A4" w:rsidRPr="00093D69" w:rsidRDefault="009B38A4" w:rsidP="009B38A4">
      <w:pPr>
        <w:pStyle w:val="2"/>
        <w:numPr>
          <w:ilvl w:val="0"/>
          <w:numId w:val="4"/>
        </w:numPr>
        <w:spacing w:line="360" w:lineRule="auto"/>
        <w:jc w:val="both"/>
        <w:rPr>
          <w:rFonts w:ascii="David" w:hAnsi="David"/>
          <w:b/>
          <w:bCs/>
          <w:u w:val="single"/>
        </w:rPr>
      </w:pPr>
      <w:r w:rsidRPr="00093D69">
        <w:rPr>
          <w:rFonts w:ascii="David" w:hAnsi="David"/>
          <w:rtl/>
        </w:rPr>
        <w:lastRenderedPageBreak/>
        <w:t>התובע ישכור דירה מרוהטת למגורי הנתבעת והקטינה, למשך 12 חודשים בשכונת המגורים שבה גרו הצדדים עובר להרחקת הקטינה; דירה זו תכלול לכל הפחות שני חדרי שינה; התובע אף ידאג לרהט את הדירה בכל הריהוט והציוד של הקטינה כפי שהיה לה בבית המגורים של הצדדים, וכן ידאג להעביר לדירה את בגדי הקטינה.</w:t>
      </w:r>
    </w:p>
    <w:p w:rsidR="009B38A4" w:rsidRPr="00093D69" w:rsidRDefault="009B38A4" w:rsidP="009B38A4">
      <w:pPr>
        <w:pStyle w:val="2"/>
        <w:numPr>
          <w:ilvl w:val="0"/>
          <w:numId w:val="4"/>
        </w:numPr>
        <w:spacing w:line="360" w:lineRule="auto"/>
        <w:jc w:val="both"/>
        <w:rPr>
          <w:rFonts w:ascii="David" w:hAnsi="David"/>
          <w:b/>
          <w:bCs/>
          <w:u w:val="single"/>
        </w:rPr>
      </w:pPr>
      <w:r w:rsidRPr="00093D69">
        <w:rPr>
          <w:rFonts w:ascii="David" w:hAnsi="David"/>
          <w:rtl/>
        </w:rPr>
        <w:t>התובע ידאג לשלם מראש את דמי השכירות עבור הדירה למשך פרק הזמן שנקבע ויציג אסכמתא בגין הסדרת מלוא התשלום על ידו לב"כ הצדדים; ככל ואין הדבר מתאפשר לביצוע באופן זה בארה"ב, ישלם התובע מראש את מספר החודשים המקסימלי האפשרי לידי המשכיר ואת יתרת הסכום הנדרש להשלמת פרק הזמן הנקוב לעיל יפקיד בידיהם הנאמנות של ב"כ הצדדים לצורך הבטחת מילוי תנאי התשלום להבטחת המדור.</w:t>
      </w:r>
    </w:p>
    <w:p w:rsidR="009B38A4" w:rsidRPr="00093D69" w:rsidRDefault="009B38A4" w:rsidP="009B38A4">
      <w:pPr>
        <w:pStyle w:val="2"/>
        <w:numPr>
          <w:ilvl w:val="0"/>
          <w:numId w:val="4"/>
        </w:numPr>
        <w:spacing w:line="360" w:lineRule="auto"/>
        <w:jc w:val="both"/>
        <w:rPr>
          <w:rFonts w:ascii="David" w:hAnsi="David"/>
          <w:b/>
          <w:bCs/>
          <w:u w:val="single"/>
        </w:rPr>
      </w:pPr>
      <w:r w:rsidRPr="00093D69">
        <w:rPr>
          <w:rFonts w:ascii="David" w:hAnsi="David"/>
          <w:rtl/>
        </w:rPr>
        <w:t>התובע יציג חוזה שכירות של הדירה לידי ב"כ הצדדים; וכן אסמכתא כאמור בדבר הסדרת שכר הדירה, בהתאם למתווה האמור לעיל.</w:t>
      </w:r>
    </w:p>
    <w:p w:rsidR="009B38A4" w:rsidRPr="00093D69" w:rsidRDefault="009B38A4" w:rsidP="009B38A4">
      <w:pPr>
        <w:pStyle w:val="2"/>
        <w:numPr>
          <w:ilvl w:val="0"/>
          <w:numId w:val="4"/>
        </w:numPr>
        <w:spacing w:line="360" w:lineRule="auto"/>
        <w:jc w:val="both"/>
        <w:rPr>
          <w:rFonts w:ascii="David" w:hAnsi="David"/>
          <w:b/>
          <w:bCs/>
          <w:u w:val="single"/>
        </w:rPr>
      </w:pPr>
      <w:r w:rsidRPr="00093D69">
        <w:rPr>
          <w:rFonts w:ascii="David" w:hAnsi="David"/>
          <w:rtl/>
        </w:rPr>
        <w:t>התובע ידאג לפתוח הליך בעניינה של הקטינה בארה"ב ולהגיש לבית המשפט שם העתק מפסק דין זה בצירוף תצהיר חתום על ידו ומאומת כדין כי הוא מתחייב לפעול בהתאם לחיוביו בפסק דין זה; העתק הגשת המסמכים הללו יוגשו לידי ב"כ הצדדים.</w:t>
      </w:r>
    </w:p>
    <w:p w:rsidR="009B38A4" w:rsidRPr="00093D69" w:rsidRDefault="009B38A4" w:rsidP="009B38A4">
      <w:pPr>
        <w:pStyle w:val="2"/>
        <w:numPr>
          <w:ilvl w:val="0"/>
          <w:numId w:val="4"/>
        </w:numPr>
        <w:spacing w:line="360" w:lineRule="auto"/>
        <w:jc w:val="both"/>
        <w:rPr>
          <w:rFonts w:ascii="David" w:hAnsi="David"/>
          <w:b/>
          <w:bCs/>
          <w:u w:val="single"/>
        </w:rPr>
      </w:pPr>
      <w:r w:rsidRPr="00093D69">
        <w:rPr>
          <w:rFonts w:ascii="David" w:hAnsi="David"/>
          <w:rtl/>
        </w:rPr>
        <w:t>החזרת הקטינה לארה"ב תבוצע 14 ימים לאחר שימולאו כלל התנאים המצטברים לעיל, לרבות בדבר הפקדת הסכומים הנדרשים כמפורט לעיל בידי ב"כ הצדדים והעברה לידיהם של העתק חוזה השכי</w:t>
      </w:r>
      <w:r w:rsidR="00FB3975">
        <w:rPr>
          <w:rFonts w:ascii="David" w:hAnsi="David" w:hint="cs"/>
          <w:rtl/>
        </w:rPr>
        <w:t>.</w:t>
      </w:r>
      <w:r w:rsidRPr="00093D69">
        <w:rPr>
          <w:rFonts w:ascii="David" w:hAnsi="David"/>
          <w:rtl/>
        </w:rPr>
        <w:t xml:space="preserve">רות ששכר התובע עבור הנתבעת והקטינה וכן הגשת אסמכתא בדבר תשלום מלוא שכר הדירה לפרק הזמן הקבוע לעיל, פתיחת הליך והגשת הצהרת התובע למילוי התחייבויותיו כפי שנפסקו בפסק זה, והכל בהתאם למפורט לעיל. </w:t>
      </w:r>
    </w:p>
    <w:p w:rsidR="009B38A4" w:rsidRPr="00093D69" w:rsidRDefault="009B38A4" w:rsidP="009B38A4">
      <w:pPr>
        <w:pStyle w:val="2"/>
        <w:numPr>
          <w:ilvl w:val="0"/>
          <w:numId w:val="4"/>
        </w:numPr>
        <w:spacing w:line="360" w:lineRule="auto"/>
        <w:jc w:val="both"/>
        <w:rPr>
          <w:rFonts w:ascii="David" w:hAnsi="David"/>
          <w:b/>
          <w:bCs/>
          <w:u w:val="single"/>
        </w:rPr>
      </w:pPr>
      <w:r w:rsidRPr="00093D69">
        <w:rPr>
          <w:rFonts w:ascii="David" w:hAnsi="David"/>
          <w:rtl/>
        </w:rPr>
        <w:lastRenderedPageBreak/>
        <w:t>התובע יישא בפועל בעלות כרטיס טיסה חזור עבור הנתבעת והקטינה; הצדדים ישמרו על טענותיהם בנוגע לחלוקת נטל ההוצאות בנדון וביהמ"ש המוסמך יכריע שם לרבות בזיקה להליכים שיתנהלו שם.</w:t>
      </w:r>
    </w:p>
    <w:p w:rsidR="009B38A4" w:rsidRPr="00093D69" w:rsidRDefault="009B38A4" w:rsidP="009B38A4">
      <w:pPr>
        <w:pStyle w:val="2"/>
        <w:numPr>
          <w:ilvl w:val="0"/>
          <w:numId w:val="4"/>
        </w:numPr>
        <w:spacing w:line="360" w:lineRule="auto"/>
        <w:jc w:val="both"/>
        <w:rPr>
          <w:rFonts w:ascii="David" w:hAnsi="David"/>
          <w:b/>
          <w:bCs/>
          <w:u w:val="single"/>
        </w:rPr>
      </w:pPr>
      <w:r w:rsidRPr="00093D69">
        <w:rPr>
          <w:rFonts w:ascii="David" w:hAnsi="David"/>
          <w:rtl/>
        </w:rPr>
        <w:t>כל עוד נמצא התובע בישראל ועד להשבת הקטינה לארה"ב בהתאם לאמור לעיל, יתקיימו זמני שהות בין התובע לבין הקטינה שלוש פעמים בשבוע, כהמלצת המומחה, בימים שני, רביעי מסיום המסגרת החינוכית ובהעדרה מהשעה 16:00 ועד השעה 19:00 ובימי שישי מסיום המסגרת החינוכית עד שעה לפני כניסת השבת; ובהעדר מסגרת חינוכית בימי שישי- בין השעות 8:00-12:00; האב יאסוף את הקטינה מבית האם או מהמסגרת החינוכית וישיבה לשם; כאשר לעת שובה של הקטינה לארה"ב יתקיימו זמני שהות אלה עד למתן החלטה אחרת על ידי הערכאה המוסמכת.</w:t>
      </w:r>
    </w:p>
    <w:p w:rsidR="009B38A4" w:rsidRPr="00093D69" w:rsidRDefault="009B38A4" w:rsidP="009B38A4">
      <w:pPr>
        <w:pStyle w:val="2"/>
        <w:spacing w:line="360" w:lineRule="auto"/>
        <w:jc w:val="both"/>
        <w:rPr>
          <w:rFonts w:ascii="David" w:hAnsi="David"/>
        </w:rPr>
      </w:pPr>
    </w:p>
    <w:p w:rsidR="009B38A4" w:rsidRPr="00093D69" w:rsidRDefault="009B38A4" w:rsidP="00B441B1">
      <w:pPr>
        <w:pStyle w:val="2"/>
        <w:numPr>
          <w:ilvl w:val="0"/>
          <w:numId w:val="1"/>
        </w:numPr>
        <w:spacing w:line="360" w:lineRule="auto"/>
        <w:jc w:val="both"/>
        <w:rPr>
          <w:rFonts w:ascii="David" w:hAnsi="David"/>
        </w:rPr>
      </w:pPr>
      <w:r w:rsidRPr="00093D69">
        <w:rPr>
          <w:rFonts w:ascii="David" w:hAnsi="David"/>
          <w:rtl/>
        </w:rPr>
        <w:t xml:space="preserve">לאור תוצאת הכרעתי זו בדבר קבלת התביעה מכוח חוק אמנת האג לפיה יש להורות על החזרתה של הקטינה לארה"ב, למקום מגוריה הרגיל, ברי כי אין מקום לדון  בהליכים הנוספים שהוגשו בבית משפט זה, ע"י הנתבעת, בעניינה של הקטינה וכן להגירה ומשכך אני מורה על מחיקתן (תלה"מ </w:t>
      </w:r>
      <w:r w:rsidR="00B441B1" w:rsidRPr="00093D69">
        <w:rPr>
          <w:rFonts w:ascii="David" w:hAnsi="David"/>
        </w:rPr>
        <w:t>XXXXXX</w:t>
      </w:r>
      <w:r w:rsidRPr="00093D69">
        <w:rPr>
          <w:rFonts w:ascii="David" w:hAnsi="David"/>
          <w:rtl/>
        </w:rPr>
        <w:t xml:space="preserve">; תלה"מ </w:t>
      </w:r>
      <w:r w:rsidR="00B441B1" w:rsidRPr="00093D69">
        <w:rPr>
          <w:rFonts w:ascii="David" w:hAnsi="David"/>
        </w:rPr>
        <w:t>XXXXXX</w:t>
      </w:r>
      <w:r w:rsidRPr="00093D69">
        <w:rPr>
          <w:rFonts w:ascii="David" w:hAnsi="David"/>
          <w:rtl/>
        </w:rPr>
        <w:t>)</w:t>
      </w:r>
      <w:r w:rsidR="00234528" w:rsidRPr="00093D69">
        <w:rPr>
          <w:rFonts w:ascii="David" w:hAnsi="David"/>
          <w:rtl/>
        </w:rPr>
        <w:t xml:space="preserve"> תוך השבת האגרה לידי הנתבעת (התובעת בהם) בהתאם לתקנות</w:t>
      </w:r>
      <w:r w:rsidRPr="00093D69">
        <w:rPr>
          <w:rFonts w:ascii="David" w:hAnsi="David"/>
          <w:rtl/>
        </w:rPr>
        <w:t xml:space="preserve">; </w:t>
      </w:r>
      <w:r w:rsidR="00234528" w:rsidRPr="00093D69">
        <w:rPr>
          <w:rFonts w:ascii="David" w:hAnsi="David"/>
          <w:rtl/>
        </w:rPr>
        <w:t>ו</w:t>
      </w:r>
      <w:r w:rsidRPr="00093D69">
        <w:rPr>
          <w:rFonts w:ascii="David" w:hAnsi="David"/>
          <w:rtl/>
        </w:rPr>
        <w:t xml:space="preserve">המזכירות תפעל </w:t>
      </w:r>
      <w:r w:rsidR="00234528" w:rsidRPr="00093D69">
        <w:rPr>
          <w:rFonts w:ascii="David" w:hAnsi="David"/>
          <w:rtl/>
        </w:rPr>
        <w:t>בהתאם לרבות לסגירתם</w:t>
      </w:r>
      <w:r w:rsidRPr="00093D69">
        <w:rPr>
          <w:rFonts w:ascii="David" w:hAnsi="David"/>
          <w:rtl/>
        </w:rPr>
        <w:t xml:space="preserve">. </w:t>
      </w:r>
    </w:p>
    <w:p w:rsidR="009B38A4" w:rsidRDefault="009B38A4" w:rsidP="009B38A4">
      <w:pPr>
        <w:pStyle w:val="ad"/>
        <w:rPr>
          <w:rFonts w:ascii="David" w:hAnsi="David" w:cs="David"/>
          <w:rtl/>
        </w:rPr>
      </w:pPr>
    </w:p>
    <w:p w:rsidR="009B38A4" w:rsidRPr="00093D69" w:rsidRDefault="009B38A4" w:rsidP="00234528">
      <w:pPr>
        <w:pStyle w:val="2"/>
        <w:numPr>
          <w:ilvl w:val="0"/>
          <w:numId w:val="1"/>
        </w:numPr>
        <w:spacing w:line="360" w:lineRule="auto"/>
        <w:jc w:val="both"/>
        <w:rPr>
          <w:rFonts w:ascii="David" w:hAnsi="David"/>
          <w:rtl/>
        </w:rPr>
      </w:pPr>
      <w:r w:rsidRPr="00093D69">
        <w:rPr>
          <w:rFonts w:ascii="David" w:hAnsi="David"/>
          <w:rtl/>
        </w:rPr>
        <w:t xml:space="preserve">אשר לפסיקת הוצאות בגין ההליך; לאחר שהבאתי בחשבון את טיבו של ההליך, הוראת סעיף 26 לאמנה בדבר פסיקת הוצאות, לרבות הוראות הפסיקה בנדון ושקללתי בתוך כך את העובדה שאינה במחלוקת, כי עד כה לא נשא התובע כלל במזונות הקטינה, מצאתי לפסוק הוצאות ברף הנמוך בסך של </w:t>
      </w:r>
      <w:r w:rsidR="00234528" w:rsidRPr="00093D69">
        <w:rPr>
          <w:rFonts w:ascii="David" w:hAnsi="David"/>
          <w:rtl/>
        </w:rPr>
        <w:t>18</w:t>
      </w:r>
      <w:r w:rsidRPr="00093D69">
        <w:rPr>
          <w:rFonts w:ascii="David" w:hAnsi="David"/>
          <w:rtl/>
        </w:rPr>
        <w:t>,000 ₪.</w:t>
      </w:r>
    </w:p>
    <w:p w:rsidR="009B38A4" w:rsidRPr="00093D69" w:rsidRDefault="009B38A4" w:rsidP="009B38A4">
      <w:pPr>
        <w:rPr>
          <w:rFonts w:ascii="David" w:hAnsi="David"/>
          <w:u w:val="single"/>
          <w:rtl/>
        </w:rPr>
      </w:pPr>
    </w:p>
    <w:p w:rsidR="009B38A4" w:rsidRPr="00093D69" w:rsidRDefault="009B38A4" w:rsidP="009B38A4">
      <w:pPr>
        <w:rPr>
          <w:rFonts w:ascii="David" w:hAnsi="David"/>
          <w:b/>
          <w:bCs/>
          <w:u w:val="single"/>
          <w:rtl/>
        </w:rPr>
      </w:pPr>
      <w:r w:rsidRPr="00093D69">
        <w:rPr>
          <w:rFonts w:ascii="David" w:hAnsi="David"/>
          <w:b/>
          <w:bCs/>
          <w:u w:val="single"/>
          <w:rtl/>
        </w:rPr>
        <w:t>המזכירות תמציא הפסק ותפעל</w:t>
      </w:r>
      <w:r w:rsidR="00065FDA" w:rsidRPr="00093D69">
        <w:rPr>
          <w:rFonts w:ascii="David" w:hAnsi="David"/>
          <w:b/>
          <w:bCs/>
          <w:u w:val="single"/>
          <w:rtl/>
        </w:rPr>
        <w:t xml:space="preserve">, כאמור בסעיף </w:t>
      </w:r>
      <w:r w:rsidR="00767C79" w:rsidRPr="00093D69">
        <w:rPr>
          <w:rFonts w:ascii="David" w:hAnsi="David"/>
          <w:b/>
          <w:bCs/>
          <w:u w:val="single"/>
          <w:rtl/>
        </w:rPr>
        <w:t>181 לעיל, כמו גם לסגירת התיק</w:t>
      </w:r>
      <w:r w:rsidRPr="00093D69">
        <w:rPr>
          <w:rFonts w:ascii="David" w:hAnsi="David"/>
          <w:b/>
          <w:bCs/>
          <w:rtl/>
        </w:rPr>
        <w:t>.</w:t>
      </w:r>
    </w:p>
    <w:p w:rsidR="00476EE6" w:rsidRPr="00093D69" w:rsidRDefault="00476EE6" w:rsidP="009B38A4">
      <w:pPr>
        <w:rPr>
          <w:rFonts w:ascii="David" w:hAnsi="David"/>
          <w:rtl/>
        </w:rPr>
      </w:pPr>
    </w:p>
    <w:p w:rsidR="009B38A4" w:rsidRPr="00093D69" w:rsidRDefault="009B38A4" w:rsidP="00D70DD7">
      <w:pPr>
        <w:jc w:val="both"/>
        <w:rPr>
          <w:rFonts w:ascii="David" w:hAnsi="David"/>
          <w:rtl/>
        </w:rPr>
      </w:pPr>
      <w:r w:rsidRPr="00093D69">
        <w:rPr>
          <w:rFonts w:ascii="David" w:hAnsi="David"/>
          <w:rtl/>
        </w:rPr>
        <w:t>פסק הדין יהא מותר בפרסום לאחר השלמת תהליך התממה להשמטת פרטים מזהים</w:t>
      </w:r>
      <w:r w:rsidR="00D70DD7" w:rsidRPr="00093D69">
        <w:rPr>
          <w:rFonts w:ascii="David" w:hAnsi="David"/>
          <w:rtl/>
        </w:rPr>
        <w:t xml:space="preserve"> ותיקוני הגהה</w:t>
      </w:r>
      <w:r w:rsidRPr="00093D69">
        <w:rPr>
          <w:rFonts w:ascii="David" w:hAnsi="David"/>
          <w:rtl/>
        </w:rPr>
        <w:t>.</w:t>
      </w:r>
    </w:p>
    <w:p w:rsidR="00694556" w:rsidRPr="00093D69" w:rsidRDefault="00694556">
      <w:pPr>
        <w:spacing w:line="360" w:lineRule="auto"/>
        <w:jc w:val="both"/>
        <w:rPr>
          <w:rFonts w:ascii="David" w:hAnsi="David"/>
          <w:noProof w:val="0"/>
          <w:rtl/>
        </w:rPr>
      </w:pPr>
    </w:p>
    <w:p w:rsidR="00694556" w:rsidRPr="00093D69" w:rsidRDefault="00005C8B">
      <w:pPr>
        <w:spacing w:line="360" w:lineRule="auto"/>
        <w:jc w:val="both"/>
        <w:rPr>
          <w:rFonts w:ascii="David" w:hAnsi="David"/>
          <w:noProof w:val="0"/>
          <w:rtl/>
        </w:rPr>
      </w:pPr>
      <w:r w:rsidRPr="00093D69">
        <w:rPr>
          <w:rFonts w:ascii="David" w:hAnsi="David"/>
          <w:noProof w:val="0"/>
          <w:rtl/>
        </w:rPr>
        <w:t xml:space="preserve">ניתן היום,  </w:t>
      </w:r>
      <w:sdt>
        <w:sdtPr>
          <w:rPr>
            <w:rFonts w:ascii="David" w:hAnsi="David"/>
            <w:rtl/>
          </w:rPr>
          <w:alias w:val="1455"/>
          <w:tag w:val="1455"/>
          <w:id w:val="242217728"/>
          <w:text w:multiLine="1"/>
        </w:sdtPr>
        <w:sdtEndPr/>
        <w:sdtContent>
          <w:r w:rsidRPr="00093D69">
            <w:rPr>
              <w:rFonts w:ascii="David" w:hAnsi="David"/>
              <w:noProof w:val="0"/>
              <w:rtl/>
            </w:rPr>
            <w:t>כ"ב אלול תשפ"ד</w:t>
          </w:r>
        </w:sdtContent>
      </w:sdt>
      <w:r w:rsidRPr="00093D69">
        <w:rPr>
          <w:rFonts w:ascii="David" w:hAnsi="David"/>
          <w:noProof w:val="0"/>
          <w:rtl/>
        </w:rPr>
        <w:t xml:space="preserve">, </w:t>
      </w:r>
      <w:sdt>
        <w:sdtPr>
          <w:rPr>
            <w:rFonts w:ascii="David" w:hAnsi="David"/>
            <w:rtl/>
          </w:rPr>
          <w:alias w:val="1456"/>
          <w:tag w:val="1456"/>
          <w:id w:val="-1101635932"/>
          <w:text w:multiLine="1"/>
        </w:sdtPr>
        <w:sdtEndPr/>
        <w:sdtContent>
          <w:r w:rsidRPr="00093D69">
            <w:rPr>
              <w:rFonts w:ascii="David" w:hAnsi="David"/>
              <w:noProof w:val="0"/>
              <w:rtl/>
            </w:rPr>
            <w:t>25 ספטמבר 2024</w:t>
          </w:r>
        </w:sdtContent>
      </w:sdt>
      <w:r w:rsidRPr="00093D69">
        <w:rPr>
          <w:rFonts w:ascii="David" w:hAnsi="David"/>
          <w:noProof w:val="0"/>
          <w:rtl/>
        </w:rPr>
        <w:t>, בהעדר הצדדים.</w:t>
      </w:r>
    </w:p>
    <w:p w:rsidR="005B0F49" w:rsidRPr="00093D69" w:rsidRDefault="005B0F49" w:rsidP="00633C4F">
      <w:pPr>
        <w:spacing w:line="360" w:lineRule="auto"/>
        <w:jc w:val="both"/>
        <w:rPr>
          <w:rFonts w:ascii="David" w:hAnsi="David"/>
          <w:noProof w:val="0"/>
          <w:rtl/>
        </w:rPr>
      </w:pPr>
      <w:r w:rsidRPr="00093D69">
        <w:rPr>
          <w:rFonts w:ascii="David" w:hAnsi="David"/>
          <w:noProof w:val="0"/>
          <w:rtl/>
        </w:rPr>
        <w:tab/>
      </w:r>
      <w:r w:rsidRPr="00093D69">
        <w:rPr>
          <w:rFonts w:ascii="David" w:hAnsi="David"/>
          <w:noProof w:val="0"/>
          <w:rtl/>
        </w:rPr>
        <w:tab/>
      </w:r>
      <w:r w:rsidRPr="00093D69">
        <w:rPr>
          <w:rFonts w:ascii="David" w:hAnsi="David"/>
          <w:noProof w:val="0"/>
          <w:rtl/>
        </w:rPr>
        <w:tab/>
      </w:r>
      <w:r w:rsidRPr="00093D69">
        <w:rPr>
          <w:rFonts w:ascii="David" w:hAnsi="David"/>
          <w:noProof w:val="0"/>
          <w:rtl/>
        </w:rPr>
        <w:tab/>
      </w:r>
      <w:r w:rsidRPr="00093D69">
        <w:rPr>
          <w:rFonts w:ascii="David" w:hAnsi="David"/>
          <w:noProof w:val="0"/>
          <w:rtl/>
        </w:rPr>
        <w:tab/>
      </w:r>
      <w:r w:rsidR="00633C4F" w:rsidRPr="00093D69">
        <w:rPr>
          <w:rFonts w:ascii="David" w:hAnsi="David"/>
          <w:noProof w:val="0"/>
          <w:rtl/>
        </w:rPr>
        <w:tab/>
      </w:r>
      <w:sdt>
        <w:sdtPr>
          <w:rPr>
            <w:rFonts w:ascii="David" w:hAnsi="David"/>
            <w:noProof w:val="0"/>
            <w:rtl/>
          </w:rPr>
          <w:alias w:val="2045"/>
          <w:tag w:val="2045"/>
          <w:id w:val="1736736771"/>
          <w:placeholder>
            <w:docPart w:val="03459962B6984C23A2D5882F7D086C2E"/>
          </w:placeholder>
          <w:showingPlcHdr/>
          <w:text w:multiLine="1"/>
        </w:sdtPr>
        <w:sdtEndPr/>
        <w:sdtContent/>
      </w:sdt>
      <w:r w:rsidRPr="00093D69">
        <w:rPr>
          <w:rFonts w:ascii="David" w:hAnsi="David"/>
          <w:noProof w:val="0"/>
          <w:rtl/>
        </w:rPr>
        <w:tab/>
      </w:r>
      <w:r w:rsidRPr="00093D69">
        <w:rPr>
          <w:rFonts w:ascii="David" w:hAnsi="David"/>
          <w:noProof w:val="0"/>
          <w:rtl/>
        </w:rPr>
        <w:tab/>
      </w:r>
      <w:r w:rsidR="00633C4F" w:rsidRPr="00093D69">
        <w:rPr>
          <w:rFonts w:ascii="David" w:hAnsi="David"/>
          <w:noProof w:val="0"/>
          <w:rtl/>
        </w:rPr>
        <w:t xml:space="preserve"> </w:t>
      </w:r>
    </w:p>
    <w:p w:rsidR="00694556" w:rsidRPr="00093D69" w:rsidRDefault="00F917AB" w:rsidP="00633C4F">
      <w:pPr>
        <w:spacing w:line="360" w:lineRule="auto"/>
        <w:ind w:left="3600" w:firstLine="720"/>
        <w:rPr>
          <w:rFonts w:ascii="David" w:hAnsi="David"/>
        </w:rPr>
      </w:pPr>
      <w:sdt>
        <w:sdtPr>
          <w:rPr>
            <w:rFonts w:ascii="David" w:hAnsi="David"/>
            <w:rtl/>
          </w:rPr>
          <w:alias w:val="MergeField"/>
          <w:tag w:val="1237"/>
          <w:id w:val="1348447439"/>
        </w:sdtPr>
        <w:sdtEndPr/>
        <w:sdtContent>
          <w:r w:rsidR="0045641D" w:rsidRPr="00093D69">
            <w:rPr>
              <w:rFonts w:ascii="David" w:hAnsi="David"/>
            </w:rPr>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343025" cy="962025"/>
                        </a:xfrm>
                        <a:prstGeom prst="rect">
                          <a:avLst/>
                        </a:prstGeom>
                      </pic:spPr>
                    </pic:pic>
                  </a:graphicData>
                </a:graphic>
              </wp:inline>
            </w:drawing>
          </w:r>
        </w:sdtContent>
      </w:sdt>
    </w:p>
    <w:p w:rsidR="00694556" w:rsidRPr="00093D69" w:rsidRDefault="00694556" w:rsidP="00633C4F">
      <w:pPr>
        <w:spacing w:line="360" w:lineRule="auto"/>
        <w:ind w:left="3600" w:firstLine="720"/>
        <w:rPr>
          <w:rFonts w:ascii="David" w:hAnsi="David"/>
          <w:noProof w:val="0"/>
          <w:rtl/>
        </w:rPr>
      </w:pPr>
    </w:p>
    <w:p w:rsidR="00694556" w:rsidRPr="00093D69" w:rsidRDefault="00694556">
      <w:pPr>
        <w:spacing w:line="360" w:lineRule="auto"/>
        <w:jc w:val="both"/>
        <w:rPr>
          <w:rFonts w:ascii="David" w:hAnsi="David"/>
          <w:noProof w:val="0"/>
          <w:rtl/>
        </w:rPr>
      </w:pPr>
    </w:p>
    <w:p w:rsidR="00694556" w:rsidRPr="00093D69" w:rsidRDefault="00694556">
      <w:pPr>
        <w:spacing w:line="360" w:lineRule="auto"/>
        <w:jc w:val="both"/>
        <w:rPr>
          <w:rFonts w:ascii="David" w:hAnsi="David"/>
          <w:noProof w:val="0"/>
          <w:rtl/>
        </w:rPr>
      </w:pPr>
    </w:p>
    <w:sectPr w:rsidR="00694556" w:rsidRPr="00093D69" w:rsidSect="00903896">
      <w:headerReference w:type="default" r:id="rId17"/>
      <w:footerReference w:type="defaul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7AB" w:rsidRDefault="00F917AB">
      <w:r>
        <w:separator/>
      </w:r>
    </w:p>
  </w:endnote>
  <w:endnote w:type="continuationSeparator" w:id="0">
    <w:p w:rsidR="00F917AB" w:rsidRDefault="00F91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36A7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36A7F">
      <w:rPr>
        <w:rStyle w:val="ab"/>
        <w:rtl/>
      </w:rPr>
      <w:t>38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7AB" w:rsidRDefault="00F917AB">
      <w:r>
        <w:separator/>
      </w:r>
    </w:p>
  </w:footnote>
  <w:footnote w:type="continuationSeparator" w:id="0">
    <w:p w:rsidR="00F917AB" w:rsidRDefault="00F91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rsidP="00162A54">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917AB" w:rsidP="005A543C">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תמ"ש</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29941-08-24</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5A543C">
                <w:rPr>
                  <w:b/>
                  <w:bCs/>
                  <w:noProof w:val="0"/>
                  <w:sz w:val="26"/>
                  <w:szCs w:val="26"/>
                  <w:rtl/>
                </w:rPr>
                <w:t xml:space="preserve">     </w:t>
              </w:r>
            </w:sdtContent>
          </w:sdt>
        </w:p>
        <w:p w:rsidR="00694556" w:rsidRPr="00957C90" w:rsidRDefault="00694556">
          <w:pPr>
            <w:rPr>
              <w:b/>
              <w:bCs/>
              <w:noProof w:val="0"/>
              <w:sz w:val="2"/>
              <w:szCs w:val="2"/>
              <w:rtl/>
            </w:rPr>
          </w:pPr>
        </w:p>
        <w:p w:rsidR="00957C90" w:rsidRPr="00957C90" w:rsidRDefault="00957C90" w:rsidP="009B38A4">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4058"/>
    <w:multiLevelType w:val="hybridMultilevel"/>
    <w:tmpl w:val="3196B352"/>
    <w:lvl w:ilvl="0" w:tplc="A6B4B570">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14A6FA9"/>
    <w:multiLevelType w:val="hybridMultilevel"/>
    <w:tmpl w:val="A29A625E"/>
    <w:lvl w:ilvl="0" w:tplc="0B4CE49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564018D6"/>
    <w:multiLevelType w:val="hybridMultilevel"/>
    <w:tmpl w:val="9A263A34"/>
    <w:lvl w:ilvl="0" w:tplc="3BA6DB8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61C80382"/>
    <w:multiLevelType w:val="hybridMultilevel"/>
    <w:tmpl w:val="C610F7E8"/>
    <w:lvl w:ilvl="0" w:tplc="4270345E">
      <w:start w:val="1"/>
      <w:numFmt w:val="decimal"/>
      <w:lvlText w:val="%1."/>
      <w:lvlJc w:val="left"/>
      <w:pPr>
        <w:ind w:left="720" w:hanging="360"/>
      </w:pPr>
      <w:rPr>
        <w:rFonts w:ascii="David" w:hAnsi="David" w:cs="David" w:hint="default"/>
        <w:b w:val="0"/>
        <w:bCs w:val="0"/>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8669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866950&amp;lt;/CaseID&amp;gt;_x000d__x000a_        &amp;lt;CaseMonth&amp;gt;8&amp;lt;/CaseMonth&amp;gt;_x000d__x000a_        &amp;lt;CaseYear&amp;gt;2024&amp;lt;/CaseYear&amp;gt;_x000d__x000a_        &amp;lt;CaseNumber&amp;gt;29941&amp;lt;/CaseNumber&amp;gt;_x000d__x000a_        &amp;lt;NumeratorGroupID&amp;gt;1&amp;lt;/NumeratorGroupID&amp;gt;_x000d__x000a_        &amp;lt;CaseName&amp;gt;צור נ&amp;#39; פנחס&amp;lt;/CaseName&amp;gt;_x000d__x000a_        &amp;lt;CourtID&amp;gt;35&amp;lt;/CourtID&amp;gt;_x000d__x000a_        &amp;lt;CaseTypeID&amp;gt;15&amp;lt;/CaseTypeID&amp;gt;_x000d__x000a_        &amp;lt;CaseInterestID&amp;gt;139&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941-08-2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4-08-13T07:00:00+03:00&amp;lt;/CaseOpenDate&amp;gt;_x000d__x000a_        &amp;lt;PleaTypeID&amp;gt;4&amp;lt;/PleaTypeID&amp;gt;_x000d__x000a_        &amp;lt;CourtLevelID&amp;gt;1&amp;lt;/CourtLevelID&amp;gt;_x000d__x000a_        &amp;lt;CourtLevelCaseTypeInterestID&amp;gt;125&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ארגז של מסמכים מעו&amp;quot;ד זיו בייטל ונשלח לסריקה חיצונית._x000d__x000a_לימור&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866950&amp;lt;/CaseID&amp;gt;_x000d__x000a_        &amp;lt;CaseMonth&amp;gt;8&amp;lt;/CaseMonth&amp;gt;_x000d__x000a_        &amp;lt;CaseYear&amp;gt;2024&amp;lt;/CaseYear&amp;gt;_x000d__x000a_        &amp;lt;CaseNumber&amp;gt;29941&amp;lt;/CaseNumber&amp;gt;_x000d__x000a_        &amp;lt;NumeratorGroupID&amp;gt;1&amp;lt;/NumeratorGroupID&amp;gt;_x000d__x000a_        &amp;lt;CaseName&amp;gt;צור נ&amp;#39; פנחס&amp;lt;/CaseName&amp;gt;_x000d__x000a_        &amp;lt;CourtID&amp;gt;35&amp;lt;/CourtID&amp;gt;_x000d__x000a_        &amp;lt;CaseTypeID&amp;gt;15&amp;lt;/CaseTypeID&amp;gt;_x000d__x000a_        &amp;lt;CaseInterestID&amp;gt;139&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9941-08-24&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257&amp;lt;/CaseNextDeterminingTask&amp;gt;_x000d__x000a_        &amp;lt;CaseOpenDate&amp;gt;2024-08-13T07:00:00+03:00&amp;lt;/CaseOpenDate&amp;gt;_x000d__x000a_        &amp;lt;PleaTypeID&amp;gt;4&amp;lt;/PleaTypeID&amp;gt;_x000d__x000a_        &amp;lt;CourtLevelID&amp;gt;1&amp;lt;/CourtLevelID&amp;gt;_x000d__x000a_        &amp;lt;CourtLevelCaseTypeInterestID&amp;gt;125&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התקבל ארגז של מסמכים מעו&amp;quot;ד זיו בייטל ונשלח לסריקה חיצונית._x000d__x000a_לימור&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143550&amp;lt;/DecisionID&amp;gt;_x000d__x000a_        &amp;lt;DecisionName&amp;gt;פסק דין  שניתנה ע&amp;quot;י  הילה מלר-שלו&amp;lt;/DecisionName&amp;gt;_x000d__x000a_        &amp;lt;DecisionStatusID&amp;gt;1&amp;lt;/DecisionStatusID&amp;gt;_x000d__x000a_        &amp;lt;DecisionStatusChangeDate&amp;gt;2024-09-25T12:31:30.53+03:00&amp;lt;/DecisionStatusChangeDate&amp;gt;_x000d__x000a_        &amp;lt;DecisionSignatureDate&amp;gt;2024-09-25T12:31:28.13+03:00&amp;lt;/DecisionSignatureDate&amp;gt;_x000d__x000a_        &amp;lt;DecisionSignatureUserID&amp;gt;027453133@GOV.IL&amp;lt;/DecisionSignatureUserID&amp;gt;_x000d__x000a_        &amp;lt;DecisionCreateDate&amp;gt;2024-09-25T12:27:50.277+03:00&amp;lt;/DecisionCreateDate&amp;gt;_x000d__x000a_        &amp;lt;DecisionChangeDate&amp;gt;2024-09-25T12:31:30.71+03:00&amp;lt;/DecisionChangeDate&amp;gt;_x000d__x000a_        &amp;lt;DecisionChangeUserID&amp;gt;20036221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625152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53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00362218@GOV.IL&amp;lt;/DecisionCreationUserID&amp;gt;_x000d__x000a_        &amp;lt;DecisionDisplayName&amp;gt;פסק דין  שניתנה ע&amp;quot;י  הילה מלר-שלו&amp;lt;/DecisionDisplayName&amp;gt;_x000d__x000a_        &amp;lt;IsScanned&amp;gt;false&amp;lt;/IsScanned&amp;gt;_x000d__x000a_        &amp;lt;DecisionSignatureUserName&amp;gt;הילה מלר-של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5&amp;lt;/DecisionNumberInCase&amp;gt;_x000d__x000a_      &amp;lt;/dt_Decision&amp;gt;_x000d__x000a_      &amp;lt;dt_DecisionCase diffgr:id=&amp;quot;dt_DecisionCase1&amp;quot; msdata:rowOrder=&amp;quot;0&amp;quot;&amp;gt;_x000d__x000a_        &amp;lt;DecisionID&amp;gt;155143550&amp;lt;/DecisionID&amp;gt;_x000d__x000a_        &amp;lt;CaseID&amp;gt;81866950&amp;lt;/CaseID&amp;gt;_x000d__x000a_        &amp;lt;IsOriginal&amp;gt;true&amp;lt;/IsOriginal&amp;gt;_x000d__x000a_        &amp;lt;IsDeleted&amp;gt;false&amp;lt;/IsDeleted&amp;gt;_x000d__x000a_        &amp;lt;CaseName&amp;gt;צור נ&amp;#39; פנחס&amp;lt;/CaseName&amp;gt;_x000d__x000a_        &amp;lt;CaseDisplayIdentifier&amp;gt;29941-08-24 תמ&amp;quot;ש&amp;lt;/CaseDisplayIdentifier&amp;gt;_x000d__x000a_      &amp;lt;/dt_DecisionCase&amp;gt;_x000d__x000a_    &amp;lt;/DecisionDS&amp;gt;_x000d__x000a_  &amp;lt;/diffgr:diffgram&amp;gt;_x000d__x000a_&amp;lt;/DecisionDS&amp;gt;"/>
    <w:docVar w:name="DecisionID" w:val="155143550"/>
    <w:docVar w:name="WordClientAssemblyName" w:val="NGCS.Decision.ClientWordBL"/>
    <w:docVar w:name="WordClientClassName" w:val="NGCS.Decision.ClientWordBL.DecisionClient"/>
  </w:docVars>
  <w:rsids>
    <w:rsidRoot w:val="00694556"/>
    <w:rsid w:val="0000094D"/>
    <w:rsid w:val="00005C8B"/>
    <w:rsid w:val="000146C2"/>
    <w:rsid w:val="00016C35"/>
    <w:rsid w:val="000258FD"/>
    <w:rsid w:val="0003500A"/>
    <w:rsid w:val="000564AB"/>
    <w:rsid w:val="00065FDA"/>
    <w:rsid w:val="00093D69"/>
    <w:rsid w:val="000B2622"/>
    <w:rsid w:val="000D4A02"/>
    <w:rsid w:val="001017C5"/>
    <w:rsid w:val="001072A9"/>
    <w:rsid w:val="00115031"/>
    <w:rsid w:val="00121F97"/>
    <w:rsid w:val="0012370C"/>
    <w:rsid w:val="001277D7"/>
    <w:rsid w:val="00132017"/>
    <w:rsid w:val="0014234E"/>
    <w:rsid w:val="0014429D"/>
    <w:rsid w:val="00145A87"/>
    <w:rsid w:val="00145DC5"/>
    <w:rsid w:val="0015793A"/>
    <w:rsid w:val="00162A54"/>
    <w:rsid w:val="00194A30"/>
    <w:rsid w:val="0019743C"/>
    <w:rsid w:val="001B26F2"/>
    <w:rsid w:val="001C4003"/>
    <w:rsid w:val="001F5118"/>
    <w:rsid w:val="001F5474"/>
    <w:rsid w:val="00234528"/>
    <w:rsid w:val="002352F7"/>
    <w:rsid w:val="00250933"/>
    <w:rsid w:val="0027277D"/>
    <w:rsid w:val="00300683"/>
    <w:rsid w:val="003551CA"/>
    <w:rsid w:val="00381D3A"/>
    <w:rsid w:val="003823DA"/>
    <w:rsid w:val="00396C3D"/>
    <w:rsid w:val="003B0AA6"/>
    <w:rsid w:val="003C2FED"/>
    <w:rsid w:val="0043595F"/>
    <w:rsid w:val="00436A7F"/>
    <w:rsid w:val="0045641D"/>
    <w:rsid w:val="00457490"/>
    <w:rsid w:val="0047645A"/>
    <w:rsid w:val="00476EE6"/>
    <w:rsid w:val="00485628"/>
    <w:rsid w:val="004B49B6"/>
    <w:rsid w:val="004C7439"/>
    <w:rsid w:val="004D49A3"/>
    <w:rsid w:val="004D50AC"/>
    <w:rsid w:val="004E6E3C"/>
    <w:rsid w:val="004E7DAA"/>
    <w:rsid w:val="00507A9E"/>
    <w:rsid w:val="005124F1"/>
    <w:rsid w:val="00530BAD"/>
    <w:rsid w:val="00541598"/>
    <w:rsid w:val="00546FA2"/>
    <w:rsid w:val="00547DB7"/>
    <w:rsid w:val="00567324"/>
    <w:rsid w:val="005A543C"/>
    <w:rsid w:val="005B0F49"/>
    <w:rsid w:val="005C7EC6"/>
    <w:rsid w:val="005D4BDB"/>
    <w:rsid w:val="005F61BB"/>
    <w:rsid w:val="00620BBE"/>
    <w:rsid w:val="00622BAA"/>
    <w:rsid w:val="00625C89"/>
    <w:rsid w:val="00633C4F"/>
    <w:rsid w:val="00671BD5"/>
    <w:rsid w:val="006805C1"/>
    <w:rsid w:val="006816EC"/>
    <w:rsid w:val="00694556"/>
    <w:rsid w:val="006B0856"/>
    <w:rsid w:val="006E1A53"/>
    <w:rsid w:val="006E2FF5"/>
    <w:rsid w:val="007056AA"/>
    <w:rsid w:val="00742287"/>
    <w:rsid w:val="00744649"/>
    <w:rsid w:val="00744F41"/>
    <w:rsid w:val="00767C79"/>
    <w:rsid w:val="007A24FE"/>
    <w:rsid w:val="007A35AA"/>
    <w:rsid w:val="007D03B4"/>
    <w:rsid w:val="007F1048"/>
    <w:rsid w:val="008073CF"/>
    <w:rsid w:val="00820005"/>
    <w:rsid w:val="00846D27"/>
    <w:rsid w:val="008610A7"/>
    <w:rsid w:val="008E1332"/>
    <w:rsid w:val="008E5A8F"/>
    <w:rsid w:val="00903896"/>
    <w:rsid w:val="00912BEB"/>
    <w:rsid w:val="00927813"/>
    <w:rsid w:val="00944D13"/>
    <w:rsid w:val="00957C90"/>
    <w:rsid w:val="0096224B"/>
    <w:rsid w:val="009852AF"/>
    <w:rsid w:val="009B38A4"/>
    <w:rsid w:val="009B4D99"/>
    <w:rsid w:val="009B4E26"/>
    <w:rsid w:val="009B70F6"/>
    <w:rsid w:val="009C355E"/>
    <w:rsid w:val="009C358E"/>
    <w:rsid w:val="009E0263"/>
    <w:rsid w:val="00A20B76"/>
    <w:rsid w:val="00A2337C"/>
    <w:rsid w:val="00A267CF"/>
    <w:rsid w:val="00A31A23"/>
    <w:rsid w:val="00A342BD"/>
    <w:rsid w:val="00A41115"/>
    <w:rsid w:val="00A43458"/>
    <w:rsid w:val="00AC4E19"/>
    <w:rsid w:val="00AE452D"/>
    <w:rsid w:val="00AF1ED6"/>
    <w:rsid w:val="00AF48F9"/>
    <w:rsid w:val="00B32C61"/>
    <w:rsid w:val="00B368FE"/>
    <w:rsid w:val="00B441B1"/>
    <w:rsid w:val="00B530A8"/>
    <w:rsid w:val="00B80CBD"/>
    <w:rsid w:val="00B83406"/>
    <w:rsid w:val="00BC3369"/>
    <w:rsid w:val="00BF77EE"/>
    <w:rsid w:val="00C32E0F"/>
    <w:rsid w:val="00C42BF9"/>
    <w:rsid w:val="00C83E56"/>
    <w:rsid w:val="00CC63CE"/>
    <w:rsid w:val="00D319B3"/>
    <w:rsid w:val="00D36A71"/>
    <w:rsid w:val="00D53924"/>
    <w:rsid w:val="00D60849"/>
    <w:rsid w:val="00D63326"/>
    <w:rsid w:val="00D70DD7"/>
    <w:rsid w:val="00D96D8C"/>
    <w:rsid w:val="00DA755B"/>
    <w:rsid w:val="00DD337E"/>
    <w:rsid w:val="00E00B6F"/>
    <w:rsid w:val="00E30663"/>
    <w:rsid w:val="00E313A0"/>
    <w:rsid w:val="00E44DDF"/>
    <w:rsid w:val="00E46EBC"/>
    <w:rsid w:val="00E54642"/>
    <w:rsid w:val="00E97908"/>
    <w:rsid w:val="00EF3ED0"/>
    <w:rsid w:val="00F17E56"/>
    <w:rsid w:val="00F3613D"/>
    <w:rsid w:val="00F8403E"/>
    <w:rsid w:val="00F917AB"/>
    <w:rsid w:val="00FB3975"/>
    <w:rsid w:val="00FB3C14"/>
    <w:rsid w:val="00FC7F08"/>
    <w:rsid w:val="00FD4670"/>
    <w:rsid w:val="00FE10DD"/>
    <w:rsid w:val="00FF0B2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B38A4"/>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9B38A4"/>
    <w:pPr>
      <w:ind w:left="720"/>
      <w:contextualSpacing/>
    </w:pPr>
  </w:style>
  <w:style w:type="paragraph" w:customStyle="1" w:styleId="2">
    <w:name w:val="פיסקת רשימה2"/>
    <w:basedOn w:val="a"/>
    <w:qFormat/>
    <w:rsid w:val="009B38A4"/>
    <w:pPr>
      <w:ind w:left="720"/>
      <w:contextualSpacing/>
    </w:pPr>
  </w:style>
  <w:style w:type="paragraph" w:customStyle="1" w:styleId="P01">
    <w:name w:val="P01"/>
    <w:basedOn w:val="a"/>
    <w:rsid w:val="009B38A4"/>
    <w:pPr>
      <w:widowControl w:val="0"/>
      <w:tabs>
        <w:tab w:val="left" w:pos="624"/>
        <w:tab w:val="left" w:pos="1021"/>
        <w:tab w:val="left" w:pos="1474"/>
        <w:tab w:val="left" w:pos="1928"/>
        <w:tab w:val="left" w:pos="2381"/>
        <w:tab w:val="left" w:pos="2835"/>
        <w:tab w:val="right" w:leader="dot" w:pos="6259"/>
      </w:tabs>
      <w:suppressAutoHyphens/>
      <w:autoSpaceDE w:val="0"/>
      <w:autoSpaceDN w:val="0"/>
      <w:spacing w:before="60"/>
      <w:ind w:left="2835" w:right="624" w:hanging="624"/>
      <w:jc w:val="both"/>
    </w:pPr>
    <w:rPr>
      <w:rFonts w:cs="FrankRuehl"/>
      <w:sz w:val="20"/>
      <w:szCs w:val="26"/>
      <w:lang w:eastAsia="he-IL"/>
    </w:rPr>
  </w:style>
  <w:style w:type="paragraph" w:customStyle="1" w:styleId="ruller4">
    <w:name w:val="ruller4"/>
    <w:basedOn w:val="a"/>
    <w:rsid w:val="009B38A4"/>
    <w:pPr>
      <w:overflowPunct w:val="0"/>
      <w:autoSpaceDE w:val="0"/>
      <w:autoSpaceDN w:val="0"/>
      <w:spacing w:line="360" w:lineRule="auto"/>
      <w:jc w:val="both"/>
    </w:pPr>
    <w:rPr>
      <w:rFonts w:ascii="Arial TUR" w:hAnsi="Arial TUR" w:cs="Times New Roman"/>
      <w:noProof w:val="0"/>
      <w:spacing w:val="10"/>
      <w:sz w:val="22"/>
      <w:szCs w:val="22"/>
      <w:lang w:eastAsia="he-IL"/>
    </w:rPr>
  </w:style>
  <w:style w:type="character" w:customStyle="1" w:styleId="default">
    <w:name w:val="default"/>
    <w:basedOn w:val="a0"/>
    <w:rsid w:val="009B38A4"/>
    <w:rPr>
      <w:rFonts w:ascii="Times New Roman" w:hAnsi="Times New Roman" w:cs="Times New Roman" w:hint="default"/>
      <w:sz w:val="20"/>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5763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jpg"/><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TUR">
    <w:altName w:val="Microsoft Sans Serif"/>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7C12ED"/>
    <w:rsid w:val="00833049"/>
    <w:rsid w:val="00B40AEB"/>
    <w:rsid w:val="00B65812"/>
    <w:rsid w:val="00BC190F"/>
    <w:rsid w:val="00C74597"/>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276757464</CasePartyID>
        <PartyTypeID>5</PartyTypeID>
        <ActivityStatusID>1</ActivityStatusID>
        <PartyAliasID>102</PartyAliasID>
        <PartyAliasName>מומחה בית משפט</PartyAliasName>
        <LegalEntityID>71770733</LegalEntityID>
        <CaseLegalEntityID>132030839</CaseLegalEntityID>
        <AuthenticationTypeID>3</AuthenticationTypeID>
        <AuthenticationTypeName>חברות</AuthenticationTypeName>
        <LegalEntityNumber>513188235</LegalEntityNumber>
        <IsMainPartyType>true</IsMainPartyType>
        <CaseDisplayIdentifier>29941-08-24</CaseDisplayIdentifier>
        <CaseTypeID>15</CaseTypeID>
        <CaseTypeName>תיק משפחה (תמ"ש)</CaseTypeName>
        <CaseName>צור נ' פנחס</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277532432</CasePartyID>
        <PartyTypeID>5</PartyTypeID>
        <ActivityStatusID>1</ActivityStatusID>
        <PartyAliasID>102</PartyAliasID>
        <PartyAliasName>מומחה בית משפט</PartyAliasName>
        <LegalEntityID>69977556</LegalEntityID>
        <CaseLegalEntityID>132281606</CaseLegalEntityID>
        <AuthenticationTypeID>1</AuthenticationTypeID>
        <AuthenticationTypeName>ת"ז</AuthenticationTypeName>
        <LegalEntityNumber>015865694</LegalEntityNumber>
        <IsMainPartyType>true</IsMainPartyType>
        <CaseDisplayIdentifier>29941-08-24</CaseDisplayIdentifier>
        <CaseTypeID>15</CaseTypeID>
        <CaseTypeName>תיק משפחה (תמ"ש)</CaseTypeName>
        <CaseName>צור נ' פנחס</CaseName>
        <FullAddress>קיבוץ גליל ים גליל ים הרצליה</FullAddress>
        <EmailAddress>shinui@machonshinui.co.il</EmailAddress>
        <MotionID>0</MotionID>
        <CasePleaID>0</CasePleaID>
        <FatherName xml:space="preserve">        </FatherName>
        <LinkedCaseID>0</LinkedCaseID>
        <CasePartyCategoryID>1</CasePartyCategoryID>
        <LegalEntityAddressID>70849724</LegalEntityAddressID>
        <LegalEntityEmailAddressID>68377715</LegalEntityEmailAddressID>
        <PleaTypeID>4</PleaTypeID>
        <GroupPartyAlias/>
        <IsConverted>false</IsConverted>
        <LegalEntityNameID>72260868</LegalEntityNameID>
        <RepresentatedNamesOfAssistant/>
        <LegalEntityTypeID>6</LegalEntityTypeID>
        <IsVerdictExists>false</IsVerdictExists>
        <IsAsirAzir>false</IsAsirAzir>
        <MainAndSecSpec/>
        <IsPublicationProhibited>false</IsPublicationProhibited>
        <PublicationProhibitedFullName>דניאל גוטליב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זיו בייטל</FullName>
        <FirstName>זיו</FirstName>
        <LastName>בייטל</LastName>
        <PartyPropertyName/>
        <AuthenticationTypeAndNumber>מ.ר. 30004</AuthenticationTypeAndNumber>
        <RepresentatedOrRepresentativesNames>דורית פנחס</RepresentatedOrRepresentativesNames>
        <RepresentatedOrRepresentativesCount>1</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276511983</CasePartyID>
        <PartyTypeID>2</PartyTypeID>
        <ActivityStatusID>1</ActivityStatusID>
        <PartyAliasID>21</PartyAliasID>
        <PartyAliasName>בא כוח נתבעים</PartyAliasName>
        <LegalEntityID>390611</LegalEntityID>
        <CaseLegalEntityID>131937090</CaseLegalEntityID>
        <AuthenticationTypeID>4</AuthenticationTypeID>
        <AuthenticationTypeName>מ.ר.</AuthenticationTypeName>
        <LegalEntityNumber>30004</LegalEntityNumber>
        <IsMainPartyType>true</IsMainPartyType>
        <CaseDisplayIdentifier>29941-08-24</CaseDisplayIdentifier>
        <CaseTypeID>15</CaseTypeID>
        <CaseTypeName>תיק משפחה (תמ"ש)</CaseTypeName>
        <CaseName>צור נ' פנחס</CaseName>
        <FullAddress>מצדה 7 בני ברק דירה 176</FullAddress>
        <EmailAddress>zbeitel@netvision.net.il</EmailAddress>
        <MotionID>0</MotionID>
        <CasePleaID>0</CasePleaID>
        <FatherName xml:space="preserve">        </FatherName>
        <LinkedCaseID>0</LinkedCaseID>
        <PartyID>2</PartyID>
        <CasePartyCategoryID>2</CasePartyCategoryID>
        <LegalEntityAddressID>79749273</LegalEntityAddressID>
        <LegalEntityEmailAddressID>67848893</LegalEntityEmailAddressID>
        <PleaTypeID>4</PleaTypeID>
        <LawyerOfficeName>זיו בייטל </LawyerOfficeName>
        <LawyerOfficeID>419828</LawyerOfficeID>
        <GroupPartyAlias/>
        <IsConverted>false</IsConverted>
        <LegalEntityNameID>11595</LegalEntityNameID>
        <RepresentatedNamesOfAssistant/>
        <LegalEntityTypeID>4</LegalEntityTypeID>
        <IsVerdictExists>false</IsVerdictExists>
        <IsAsirAzir>false</IsAsirAzir>
        <MainAndSecSpec/>
        <IsPublicationProhibited>false</IsPublicationProhibited>
        <PublicationProhibitedFullName>זיו בייטל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276260557</CasePartyID>
        <PartyTypeID>3</PartyTypeID>
        <ActivityStatusID>1</ActivityStatusID>
        <OrdinalNumber>1</OrdinalNumber>
        <LegalEntityID>379242</LegalEntityID>
        <CaseLegalEntityID>131838068</CaseLegalEntityID>
        <AssistantRoleID>33</AssistantRoleID>
        <AuthenticationTypeID>13</AuthenticationTypeID>
        <AuthenticationTypeName>משרדי ממשלה</AuthenticationTypeName>
        <LegalEntityNumber>500106222</LegalEntityNumber>
        <IsMainPartyType>true</IsMainPartyType>
        <CaseDisplayIdentifier>29941-08-24</CaseDisplayIdentifier>
        <CaseTypeID>15</CaseTypeID>
        <CaseTypeName>תיק משפחה (תמ"ש)</CaseTypeName>
        <CaseName>צור נ' פנחס</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276260558</CasePartyID>
        <PartyTypeID>3</PartyTypeID>
        <ActivityStatusID>1</ActivityStatusID>
        <OrdinalNumber>1</OrdinalNumber>
        <LegalEntityID>33199120</LegalEntityID>
        <CaseLegalEntityID>131838069</CaseLegalEntityID>
        <AssistantRoleID>20</AssistantRoleID>
        <AuthenticationTypeID>13</AuthenticationTypeID>
        <AuthenticationTypeName>משרדי ממשלה</AuthenticationTypeName>
        <LegalEntityNumber>570000883</LegalEntityNumber>
        <IsMainPartyType>true</IsMainPartyType>
        <CaseDisplayIdentifier>29941-08-24</CaseDisplayIdentifier>
        <CaseTypeID>15</CaseTypeID>
        <CaseTypeName>תיק משפחה (תמ"ש)</CaseTypeName>
        <CaseName>צור נ' פנחס</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MainAndSecSpec/>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אבישי צור</FullName>
        <FirstName>אבישי</FirstName>
        <LastName>צור</LastName>
        <PartyPropertyName/>
        <AuthenticationTypeAndNumber>ת"ז 028791259</AuthenticationTypeAndNumber>
        <RepresentatedOrRepresentativesNames>רעות שדה</RepresentatedOrRepresentativesNames>
        <RepresentatedOrRepresentativesCount>1</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276260559</CasePartyID>
        <PartyTypeID>1</PartyTypeID>
        <ActivityStatusID>1</ActivityStatusID>
        <PartyAliasID>1</PartyAliasID>
        <PartyAliasName>תובע</PartyAliasName>
        <OrdinalNumber>1</OrdinalNumber>
        <LegalEntityID>82903997</LegalEntityID>
        <CaseLegalEntityID>131838070</CaseLegalEntityID>
        <AuthenticationTypeID>1</AuthenticationTypeID>
        <AuthenticationTypeName>ת"ז</AuthenticationTypeName>
        <LegalEntityNumber>028791259</LegalEntityNumber>
        <IsMainPartyType>true</IsMainPartyType>
        <CaseDisplayIdentifier>29941-08-24</CaseDisplayIdentifier>
        <CaseTypeID>15</CaseTypeID>
        <CaseTypeName>תיק משפחה (תמ"ש)</CaseTypeName>
        <CaseName>צור נ' פנחס</CaseName>
        <FullAddress>425 bucna vista road new  ארה"ב</FullAddress>
        <MotionID>0</MotionID>
        <CasePleaID>0</CasePleaID>
        <FatherName>אליהו</FatherName>
        <LinkedCaseID>0</LinkedCaseID>
        <PartyID>1</PartyID>
        <CasePartyCategoryID>2</CasePartyCategoryID>
        <LegalEntityAddressID>90828052</LegalEntityAddressID>
        <PleaTypeID>4</PleaTypeID>
        <GroupPartyAlias>תובעים</GroupPartyAlias>
        <IsConverted>false</IsConverted>
        <LegalEntityRegisteredNameID>10853067</LegalEntityRegisteredNameID>
        <LegalEntityNameID>98057819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אבישי צור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רעות שדה</FullName>
        <FirstName>רעות</FirstName>
        <LastName>שדה</LastName>
        <PartyPropertyName/>
        <AuthenticationTypeAndNumber>מ.ר. 56012</AuthenticationTypeAndNumber>
        <RepresentatedOrRepresentativesNames>אבישי צור</RepresentatedOrRepresentativesNames>
        <RepresentatedOrRepresentativesCount>1</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276260560</CasePartyID>
        <PartyTypeID>2</PartyTypeID>
        <ActivityStatusID>1</ActivityStatusID>
        <PartyAliasID>20</PartyAliasID>
        <PartyAliasName>בא כוח תובעים</PartyAliasName>
        <OrdinalNumber>1</OrdinalNumber>
        <LegalEntityID>70477993</LegalEntityID>
        <CaseLegalEntityID>131838071</CaseLegalEntityID>
        <AuthenticationTypeID>4</AuthenticationTypeID>
        <AuthenticationTypeName>מ.ר.</AuthenticationTypeName>
        <LegalEntityNumber>56012</LegalEntityNumber>
        <IsMainPartyType>true</IsMainPartyType>
        <CaseDisplayIdentifier>29941-08-24</CaseDisplayIdentifier>
        <CaseTypeID>15</CaseTypeID>
        <CaseTypeName>תיק משפחה (תמ"ש)</CaseTypeName>
        <CaseName>צור נ' פנחס</CaseName>
        <FullAddress>שדרות דואני 44 יבנה ת.ד 280</FullAddress>
        <EmailAddress>sadelawoffice@gmail.com</EmailAddress>
        <MotionID>0</MotionID>
        <CasePleaID>0</CasePleaID>
        <LinkedCaseID>0</LinkedCaseID>
        <PartyID>1</PartyID>
        <CasePartyCategoryID>2</CasePartyCategoryID>
        <LegalEntityAddressID>78653966</LegalEntityAddressID>
        <LegalEntityEmailAddressID>67857474</LegalEntityEmailAddressID>
        <PleaTypeID>4</PleaTypeID>
        <LawyerOfficeName>משרד עו"ד רעות שדה</LawyerOfficeName>
        <LawyerOfficeID>70477994</LawyerOfficeID>
        <GroupPartyAlias/>
        <IsConverted>false</IsConverted>
        <LegalEntityNameID>73107317</LegalEntityNameID>
        <RepresentatedNamesOfAssistant/>
        <LegalEntityTypeID>4</LegalEntityTypeID>
        <IsVerdictExists>false</IsVerdictExists>
        <IsAsirAzir>false</IsAsirAzir>
        <MainAndSecSpec/>
        <IsPublicationProhibited>false</IsPublicationProhibited>
        <PublicationProhibitedFullName>רעות שדה</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ד"ר דניאל גוטליב</FullName>
        <FirstName>ד"ר דניאל</FirstName>
        <LastName>גוטליב</LastName>
        <PartyPropertyName/>
        <AuthenticationTypeAndNumber>ת"ז </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277367208</CasePartyID>
        <PartyTypeID>4</PartyTypeID>
        <ActivityStatusID>1</ActivityStatusID>
        <PartyAliasID>62</PartyAliasID>
        <PartyAliasName>עד הגנה</PartyAliasName>
        <OrdinalNumber>1</OrdinalNumber>
        <LegalEntityID>82959034</LegalEntityID>
        <CaseLegalEntityID>132230876</CaseLegalEntityID>
        <AuthenticationTypeID>1</AuthenticationTypeID>
        <AuthenticationTypeName>ת"ז</AuthenticationTypeName>
        <IsMainPartyType>true</IsMainPartyType>
        <CaseDisplayIdentifier>29941-08-24</CaseDisplayIdentifier>
        <CaseTypeID>15</CaseTypeID>
        <CaseTypeName>תיק משפחה (תמ"ש)</CaseTypeName>
        <CaseName>צור נ' פנחס</CaseName>
        <FullAddress>קיבוץ גליל ים גליל ים </FullAddress>
        <MotionID>0</MotionID>
        <CasePleaID>0</CasePleaID>
        <LinkedCaseID>0</LinkedCaseID>
        <PartyID>2</PartyID>
        <CasePartyCategoryID>2</CasePartyCategoryID>
        <LegalEntityAddressID>90943492</LegalEntityAddressID>
        <PleaTypeID>4</PleaTypeID>
        <GroupPartyAlias/>
        <IsConverted>false</IsConverted>
        <LegalEntityNameID>98201492</LegalEntityNameID>
        <RepresentatedNamesOfAssistant/>
        <LegalEntityTypeID>1</LegalEntityTypeID>
        <IsVerdictExists>false</IsVerdictExists>
        <IsAsirAzir>false</IsAsirAzir>
        <MainAndSecSpec/>
        <IsPublicationProhibited>false</IsPublicationProhibited>
        <PublicationProhibitedFullName>ד"ר דניאל גוטליב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דורית פנחס</FullName>
        <FirstName>דורית</FirstName>
        <LastName>פנחס</LastName>
        <PartyPropertyName/>
        <AuthenticationTypeAndNumber>ת"ז 037592458</AuthenticationTypeAndNumber>
        <RepresentatedOrRepresentativesNames>זיו בייטל</RepresentatedOrRepresentativesNames>
        <RepresentatedOrRepresentativesCount>1</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276260561</CasePartyID>
        <PartyTypeID>1</PartyTypeID>
        <ActivityStatusID>1</ActivityStatusID>
        <PartyAliasID>2</PartyAliasID>
        <PartyAliasName>נתבע</PartyAliasName>
        <OrdinalNumber>1</OrdinalNumber>
        <LegalEntityID>69556320</LegalEntityID>
        <CaseLegalEntityID>131838072</CaseLegalEntityID>
        <AuthenticationTypeID>1</AuthenticationTypeID>
        <AuthenticationTypeName>ת"ז</AuthenticationTypeName>
        <LegalEntityNumber>037592458</LegalEntityNumber>
        <IsMainPartyType>true</IsMainPartyType>
        <CaseDisplayIdentifier>29941-08-24</CaseDisplayIdentifier>
        <CaseTypeID>15</CaseTypeID>
        <CaseTypeName>תיק משפחה (תמ"ש)</CaseTypeName>
        <CaseName>צור נ' פנחס</CaseName>
        <FullAddress>יעקב בר סימן טוב 107 יהוד-מונוסון כ</FullAddress>
        <MotionID>0</MotionID>
        <CasePleaID>0</CasePleaID>
        <FatherName>משה</FatherName>
        <LinkedCaseID>0</LinkedCaseID>
        <PartyID>2</PartyID>
        <CasePartyCategoryID>2</CasePartyCategoryID>
        <LegalEntityAddressID>90828054</LegalEntityAddressID>
        <PleaTypeID>4</PleaTypeID>
        <GroupPartyAlias>נתבעים</GroupPartyAlias>
        <IsConverted>false</IsConverted>
        <LegalEntityRegisteredNameID>10707024</LegalEntityRegisteredNameID>
        <LegalEntityNameID>98057821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דורית פנחס</PublicationProhibitedFullName>
      </CaseParties>
    </CasePartiesSelectionDS>
    <DecisionName>פסק דין  שניתנה ע"י  הילה מלר-שלו</DecisionName>
    <CourtDisplayName>בית משפט לענייני משפחה בפתח תקווה</CourtDisplayName>
    <IsCaseJudgePanel>false</IsCaseJudgePanel>
    <DecisionSignatureDate>2024-09-25T12:22:36.766479+03:00</DecisionSignatureDate>
    <OpenCaseDate>2024-08-13T07:00:00+03:00</OpenCaseDate>
    <CaseFeeSum>0.000</CaseFeeSum>
    <DecisionTypeID>2</DecisionTypeID>
    <DecisionSignatureUserName>הילה מלר-שלו</DecisionSignatureUserName>
    <DecisionSignatureDateHebrew>2024-09-25T12:22:36.766479+03:00</DecisionSignatureDateHebrew>
    <DecisionWriterID>027453133@GOV.IL</DecisionWriterID>
    <CourtAddress>רח' בזל 1 א', פתח תקווה -1</CourtAddress>
    <IsAutoTextInCaseExist>false</IsAutoTextInCaseExist>
    <DecisionSignatureRoleName>שופט</DecisionSignatureRoleName>
    <DecisionSignatureUserTitleName>שופטת</DecisionSignatureUserTitleName>
    <CaseName>צור נ' פנחס</CaseName>
    <DecisionNumberInCase>35</DecisionNumberInCase>
  </dt_Decision>
  <dt_DecisionCase>
    <DecisionID>0</DecisionID>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מכון שינוי</FullName>
        <LastName>מכון שינוי</LastName>
        <PartyPropertyName/>
        <AuthenticationTypeAndNumber>חברות 513188235</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276757464</CasePartyID>
        <PartyTypeID>5</PartyTypeID>
        <ActivityStatusID>1</ActivityStatusID>
        <PartyAliasID>102</PartyAliasID>
        <PartyAliasName>מומחה בית משפט</PartyAliasName>
        <LegalEntityID>71770733</LegalEntityID>
        <CaseLegalEntityID>132030839</CaseLegalEntityID>
        <AuthenticationTypeID>3</AuthenticationTypeID>
        <AuthenticationTypeName>חברות</AuthenticationTypeName>
        <LegalEntityNumber>513188235</LegalEntityNumber>
        <IsMainPartyType>true</IsMainPartyType>
        <CaseDisplayIdentifier>29941-08-24</CaseDisplayIdentifier>
        <CaseTypeID>15</CaseTypeID>
        <CaseTypeName>תיק משפחה (תמ"ש)</CaseTypeName>
        <CaseName>צור נ' פנחס</CaseName>
        <FullAddress>קיבוץ גליל ים גליל ים </FullAddress>
        <EmailAddress>shinui@machonshinui.co.il</EmailAddress>
        <MotionID>0</MotionID>
        <CasePleaID>0</CasePleaID>
        <FatherName xml:space="preserve">        </FatherName>
        <LinkedCaseID>0</LinkedCaseID>
        <CasePartyCategoryID>1</CasePartyCategoryID>
        <LegalEntityAddressID>73507268</LegalEntityAddressID>
        <LegalEntityEmailAddressID>68105187</LegalEntityEmailAddressID>
        <PleaTypeID>4</PleaTypeID>
        <GroupPartyAlias/>
        <IsConverted>false</IsConverted>
        <LegalEntityNameID>75183641</LegalEntityNameID>
        <RepresentatedNamesOfAssistant/>
        <LegalEntityTypeID>6</LegalEntityTypeID>
        <IsVerdictExists>false</IsVerdictExists>
        <IsAsirAzir>false</IsAsirAzir>
        <MainAndSecSpec/>
        <IsPublicationProhibited>false</IsPublicationProhibited>
        <PublicationProhibitedFullName>מכון שינוי</PublicationProhibitedFullName>
      </CaseParties>
      <CaseParties>
        <PartyTypeName>מומחה</PartyTypeName>
        <ProceedingType>בית משפט</ProceedingType>
        <PleaName>כתב תביעה</PleaName>
        <PartyBelonging> - </PartyBelonging>
        <RoleName>מומחה בית משפט </RoleName>
        <IsSubProceeding>FALSE</IsSubProceeding>
        <FullName>דניאל גוטליב</FullName>
        <FirstName>דניאל</FirstName>
        <LastName>גוטליב</LastName>
        <PartyPropertyName/>
        <AuthenticationTypeAndNumber>ת"ז 015865694</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277532432</CasePartyID>
        <PartyTypeID>5</PartyTypeID>
        <ActivityStatusID>1</ActivityStatusID>
        <PartyAliasID>102</PartyAliasID>
        <PartyAliasName>מומחה בית משפט</PartyAliasName>
        <LegalEntityID>69977556</LegalEntityID>
        <CaseLegalEntityID>132281606</CaseLegalEntityID>
        <AuthenticationTypeID>1</AuthenticationTypeID>
        <AuthenticationTypeName>ת"ז</AuthenticationTypeName>
        <LegalEntityNumber>015865694</LegalEntityNumber>
        <IsMainPartyType>true</IsMainPartyType>
        <CaseDisplayIdentifier>29941-08-24</CaseDisplayIdentifier>
        <CaseTypeID>15</CaseTypeID>
        <CaseTypeName>תיק משפחה (תמ"ש)</CaseTypeName>
        <CaseName>צור נ' פנחס</CaseName>
        <FullAddress>קיבוץ גליל ים גליל ים הרצליה</FullAddress>
        <EmailAddress>shinui@machonshinui.co.il</EmailAddress>
        <MotionID>0</MotionID>
        <CasePleaID>0</CasePleaID>
        <FatherName xml:space="preserve">        </FatherName>
        <LinkedCaseID>0</LinkedCaseID>
        <CasePartyCategoryID>1</CasePartyCategoryID>
        <LegalEntityAddressID>70849724</LegalEntityAddressID>
        <LegalEntityEmailAddressID>68377715</LegalEntityEmailAddressID>
        <PleaTypeID>4</PleaTypeID>
        <GroupPartyAlias/>
        <IsConverted>false</IsConverted>
        <LegalEntityNameID>72260868</LegalEntityNameID>
        <RepresentatedNamesOfAssistant/>
        <LegalEntityTypeID>6</LegalEntityTypeID>
        <IsVerdictExists>false</IsVerdictExists>
        <IsAsirAzir>false</IsAsirAzir>
        <MainAndSecSpec/>
        <IsPublicationProhibited>false</IsPublicationProhibited>
        <PublicationProhibitedFullName>דניאל גוטליב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זיו בייטל</FullName>
        <FirstName>זיו</FirstName>
        <LastName>בייטל</LastName>
        <PartyPropertyName/>
        <AuthenticationTypeAndNumber>מ.ר. 30004</AuthenticationTypeAndNumber>
        <RepresentatedOrRepresentativesNames>דורית פנחס</RepresentatedOrRepresentativesNames>
        <RepresentatedOrRepresentativesCount>1</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276511983</CasePartyID>
        <PartyTypeID>2</PartyTypeID>
        <ActivityStatusID>1</ActivityStatusID>
        <PartyAliasID>21</PartyAliasID>
        <PartyAliasName>בא כוח נתבעים</PartyAliasName>
        <LegalEntityID>390611</LegalEntityID>
        <CaseLegalEntityID>131937090</CaseLegalEntityID>
        <AuthenticationTypeID>4</AuthenticationTypeID>
        <AuthenticationTypeName>מ.ר.</AuthenticationTypeName>
        <LegalEntityNumber>30004</LegalEntityNumber>
        <IsMainPartyType>true</IsMainPartyType>
        <CaseDisplayIdentifier>29941-08-24</CaseDisplayIdentifier>
        <CaseTypeID>15</CaseTypeID>
        <CaseTypeName>תיק משפחה (תמ"ש)</CaseTypeName>
        <CaseName>צור נ' פנחס</CaseName>
        <FullAddress>מצדה 7 בני ברק דירה 176</FullAddress>
        <EmailAddress>zbeitel@netvision.net.il</EmailAddress>
        <MotionID>0</MotionID>
        <CasePleaID>0</CasePleaID>
        <FatherName xml:space="preserve">        </FatherName>
        <LinkedCaseID>0</LinkedCaseID>
        <PartyID>2</PartyID>
        <CasePartyCategoryID>2</CasePartyCategoryID>
        <LegalEntityAddressID>79749273</LegalEntityAddressID>
        <LegalEntityEmailAddressID>67848893</LegalEntityEmailAddressID>
        <PleaTypeID>4</PleaTypeID>
        <LawyerOfficeName>זיו בייטל </LawyerOfficeName>
        <LawyerOfficeID>419828</LawyerOfficeID>
        <GroupPartyAlias/>
        <IsConverted>false</IsConverted>
        <LegalEntityNameID>11595</LegalEntityNameID>
        <RepresentatedNamesOfAssistant/>
        <LegalEntityTypeID>4</LegalEntityTypeID>
        <IsVerdictExists>false</IsVerdictExists>
        <IsAsirAzir>false</IsAsirAzir>
        <MainAndSecSpec/>
        <IsPublicationProhibited>false</IsPublicationProhibited>
        <PublicationProhibitedFullName>זיו בייטל</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276260557</CasePartyID>
        <PartyTypeID>3</PartyTypeID>
        <ActivityStatusID>1</ActivityStatusID>
        <OrdinalNumber>1</OrdinalNumber>
        <LegalEntityID>379242</LegalEntityID>
        <CaseLegalEntityID>131838068</CaseLegalEntityID>
        <AssistantRoleID>33</AssistantRoleID>
        <AuthenticationTypeID>13</AuthenticationTypeID>
        <AuthenticationTypeName>משרדי ממשלה</AuthenticationTypeName>
        <LegalEntityNumber>500106222</LegalEntityNumber>
        <IsMainPartyType>true</IsMainPartyType>
        <CaseDisplayIdentifier>29941-08-24</CaseDisplayIdentifier>
        <CaseTypeID>15</CaseTypeID>
        <CaseTypeName>תיק משפחה (תמ"ש)</CaseTypeName>
        <CaseName>צור נ' פנחס</CaseName>
        <FullAddress>גרניט 5 פתח תקווה </FullAddress>
        <EmailAddress>suzana@molsa.gov.il</EmailAddress>
        <MotionID>0</MotionID>
        <CasePleaID>0</CasePleaID>
        <LinkedCaseID>0</LinkedCase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הרשות המרכזית-המחלקה ליחסים בינלאומיים, פרקליטות המדינה</RoleName>
        <IsSubProceeding>FALSE</IsSubProceeding>
        <FullName>פרקליטות המדינה, המחלקה ליחסים בינלאומיים</FullName>
        <LastName>פרקליטות המדינה, המחלקה ליחסים בינלאומיים</LastName>
        <PartyPropertyName/>
        <AuthenticationTypeAndNumber>משרדי ממשלה 570000883</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276260558</CasePartyID>
        <PartyTypeID>3</PartyTypeID>
        <ActivityStatusID>1</ActivityStatusID>
        <OrdinalNumber>1</OrdinalNumber>
        <LegalEntityID>33199120</LegalEntityID>
        <CaseLegalEntityID>131838069</CaseLegalEntityID>
        <AssistantRoleID>20</AssistantRoleID>
        <AuthenticationTypeID>13</AuthenticationTypeID>
        <AuthenticationTypeName>משרדי ממשלה</AuthenticationTypeName>
        <LegalEntityNumber>570000883</LegalEntityNumber>
        <IsMainPartyType>true</IsMainPartyType>
        <CaseDisplayIdentifier>29941-08-24</CaseDisplayIdentifier>
        <CaseTypeID>15</CaseTypeID>
        <CaseTypeName>תיק משפחה (תמ"ש)</CaseTypeName>
        <CaseName>צור נ' פנחס</CaseName>
        <FullAddress>מחל 7 ירושלים שכונת מעלות דפנה</FullAddress>
        <MotionID>0</MotionID>
        <CasePleaID>0</CasePleaID>
        <LinkedCaseID>0</LinkedCaseID>
        <CasePartyCategoryID>2</CasePartyCategoryID>
        <LegalEntityAddressID>33671559</LegalEntityAddressID>
        <PleaTypeID>4</PleaTypeID>
        <GroupPartyAlias/>
        <IsConverted>false</IsConverted>
        <LegalEntityRegisteredNameID>3571923</LegalEntityRegisteredNameID>
        <RepresentatedNamesOfAssistant/>
        <LegalEntityTypeID>3</LegalEntityTypeID>
        <IsVerdictExists>false</IsVerdictExists>
        <IsAsirAzir>false</IsAsirAzir>
        <MainAndSecSpec/>
        <IsPublicationProhibited>false</IsPublicationProhibited>
        <PublicationProhibitedFullName>פרקליטות המדינה, המחלקה ליחסים בינלאומיים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אבישי צור</FullName>
        <FirstName>אבישי</FirstName>
        <LastName>צור</LastName>
        <PartyPropertyName/>
        <AuthenticationTypeAndNumber>ת"ז 028791259</AuthenticationTypeAndNumber>
        <RepresentatedOrRepresentativesNames>רעות שדה</RepresentatedOrRepresentativesNames>
        <RepresentatedOrRepresentativesCount>1</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276260559</CasePartyID>
        <PartyTypeID>1</PartyTypeID>
        <ActivityStatusID>1</ActivityStatusID>
        <PartyAliasID>1</PartyAliasID>
        <PartyAliasName>תובע</PartyAliasName>
        <OrdinalNumber>1</OrdinalNumber>
        <LegalEntityID>82903997</LegalEntityID>
        <CaseLegalEntityID>131838070</CaseLegalEntityID>
        <AuthenticationTypeID>1</AuthenticationTypeID>
        <AuthenticationTypeName>ת"ז</AuthenticationTypeName>
        <LegalEntityNumber>028791259</LegalEntityNumber>
        <IsMainPartyType>true</IsMainPartyType>
        <CaseDisplayIdentifier>29941-08-24</CaseDisplayIdentifier>
        <CaseTypeID>15</CaseTypeID>
        <CaseTypeName>תיק משפחה (תמ"ש)</CaseTypeName>
        <CaseName>צור נ' פנחס</CaseName>
        <FullAddress>425 bucna vista road new  ארה"ב</FullAddress>
        <MotionID>0</MotionID>
        <CasePleaID>0</CasePleaID>
        <FatherName>אליהו</FatherName>
        <LinkedCaseID>0</LinkedCaseID>
        <PartyID>1</PartyID>
        <CasePartyCategoryID>2</CasePartyCategoryID>
        <LegalEntityAddressID>90828052</LegalEntityAddressID>
        <PleaTypeID>4</PleaTypeID>
        <GroupPartyAlias>תובעים</GroupPartyAlias>
        <IsConverted>false</IsConverted>
        <LegalEntityRegisteredNameID>10853067</LegalEntityRegisteredNameID>
        <LegalEntityNameID>98057819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אבישי צור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רעות שדה</FullName>
        <FirstName>רעות</FirstName>
        <LastName>שדה</LastName>
        <PartyPropertyName/>
        <AuthenticationTypeAndNumber>מ.ר. 56012</AuthenticationTypeAndNumber>
        <RepresentatedOrRepresentativesNames>אבישי צור</RepresentatedOrRepresentativesNames>
        <RepresentatedOrRepresentativesCount>1</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276260560</CasePartyID>
        <PartyTypeID>2</PartyTypeID>
        <ActivityStatusID>1</ActivityStatusID>
        <PartyAliasID>20</PartyAliasID>
        <PartyAliasName>בא כוח תובעים</PartyAliasName>
        <OrdinalNumber>1</OrdinalNumber>
        <LegalEntityID>70477993</LegalEntityID>
        <CaseLegalEntityID>131838071</CaseLegalEntityID>
        <AuthenticationTypeID>4</AuthenticationTypeID>
        <AuthenticationTypeName>מ.ר.</AuthenticationTypeName>
        <LegalEntityNumber>56012</LegalEntityNumber>
        <IsMainPartyType>true</IsMainPartyType>
        <CaseDisplayIdentifier>29941-08-24</CaseDisplayIdentifier>
        <CaseTypeID>15</CaseTypeID>
        <CaseTypeName>תיק משפחה (תמ"ש)</CaseTypeName>
        <CaseName>צור נ' פנחס</CaseName>
        <FullAddress>שדרות דואני 44 יבנה ת.ד 280</FullAddress>
        <EmailAddress>sadelawoffice@gmail.com</EmailAddress>
        <MotionID>0</MotionID>
        <CasePleaID>0</CasePleaID>
        <LinkedCaseID>0</LinkedCaseID>
        <PartyID>1</PartyID>
        <CasePartyCategoryID>2</CasePartyCategoryID>
        <LegalEntityAddressID>78653966</LegalEntityAddressID>
        <LegalEntityEmailAddressID>67857474</LegalEntityEmailAddressID>
        <PleaTypeID>4</PleaTypeID>
        <LawyerOfficeName>משרד עו"ד רעות שדה</LawyerOfficeName>
        <LawyerOfficeID>70477994</LawyerOfficeID>
        <GroupPartyAlias/>
        <IsConverted>false</IsConverted>
        <LegalEntityNameID>73107317</LegalEntityNameID>
        <RepresentatedNamesOfAssistant/>
        <LegalEntityTypeID>4</LegalEntityTypeID>
        <IsVerdictExists>false</IsVerdictExists>
        <IsAsirAzir>false</IsAsirAzir>
        <MainAndSecSpec/>
        <IsPublicationProhibited>false</IsPublicationProhibited>
        <PublicationProhibitedFullName>רעות שדה</PublicationProhibitedFullName>
      </CaseParties>
      <CaseParties>
        <PartyTypeName>עד</PartyTypeName>
        <ProceedingType>כתב טענות עיקרי</ProceedingType>
        <PleaName>כתב תביעה</PleaName>
        <PartyBelonging> - </PartyBelonging>
        <RoleName>עד הגנה 1</RoleName>
        <IsSubProceeding>FALSE</IsSubProceeding>
        <FullName>ד"ר דניאל גוטליב</FullName>
        <FirstName>ד"ר דניאל</FirstName>
        <LastName>גוטליב</LastName>
        <PartyPropertyName/>
        <AuthenticationTypeAndNumber>ת"ז </AuthenticationTypeAndNumber>
        <RepresentatedOrRepresentativesNames/>
        <RepresentatedOrRepresentativesCount>0</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277367208</CasePartyID>
        <PartyTypeID>4</PartyTypeID>
        <ActivityStatusID>1</ActivityStatusID>
        <PartyAliasID>62</PartyAliasID>
        <PartyAliasName>עד הגנה</PartyAliasName>
        <OrdinalNumber>1</OrdinalNumber>
        <LegalEntityID>82959034</LegalEntityID>
        <CaseLegalEntityID>132230876</CaseLegalEntityID>
        <AuthenticationTypeID>1</AuthenticationTypeID>
        <AuthenticationTypeName>ת"ז</AuthenticationTypeName>
        <IsMainPartyType>true</IsMainPartyType>
        <CaseDisplayIdentifier>29941-08-24</CaseDisplayIdentifier>
        <CaseTypeID>15</CaseTypeID>
        <CaseTypeName>תיק משפחה (תמ"ש)</CaseTypeName>
        <CaseName>צור נ' פנחס</CaseName>
        <FullAddress>קיבוץ גליל ים גליל ים </FullAddress>
        <MotionID>0</MotionID>
        <CasePleaID>0</CasePleaID>
        <LinkedCaseID>0</LinkedCaseID>
        <PartyID>2</PartyID>
        <CasePartyCategoryID>2</CasePartyCategoryID>
        <LegalEntityAddressID>90943492</LegalEntityAddressID>
        <PleaTypeID>4</PleaTypeID>
        <GroupPartyAlias/>
        <IsConverted>false</IsConverted>
        <LegalEntityNameID>98201492</LegalEntityNameID>
        <RepresentatedNamesOfAssistant/>
        <LegalEntityTypeID>1</LegalEntityTypeID>
        <IsVerdictExists>false</IsVerdictExists>
        <IsAsirAzir>false</IsAsirAzir>
        <MainAndSecSpec/>
        <IsPublicationProhibited>false</IsPublicationProhibited>
        <PublicationProhibitedFullName>ד"ר דניאל גוטליב</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דורית פנחס</FullName>
        <FirstName>דורית</FirstName>
        <LastName>פנחס</LastName>
        <PartyPropertyName/>
        <AuthenticationTypeAndNumber>ת"ז 037592458</AuthenticationTypeAndNumber>
        <RepresentatedOrRepresentativesNames>זיו בייטל</RepresentatedOrRepresentativesNames>
        <RepresentatedOrRepresentativesCount>1</RepresentatedOrRepresentativesCount>
        <InvitedBy/>
        <CaseID>81866950</CaseID>
        <CaseJudicialPersonPresentationDS>
          <CaseJudicalPersonActive>
            <CaseID>81866950</CaseID>
            <JudicialPersonID>027453133@GOV.IL</JudicialPersonID>
            <JudicialPersonTypeID>1</JudicialPersonTypeID>
            <JudicialTypeID>1</JudicialTypeID>
            <IsChairman>false</IsChairman>
            <TreatmentStartDate>2024-08-13T10:11:52.74+03:00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276260561</CasePartyID>
        <PartyTypeID>1</PartyTypeID>
        <ActivityStatusID>1</ActivityStatusID>
        <PartyAliasID>2</PartyAliasID>
        <PartyAliasName>נתבע</PartyAliasName>
        <OrdinalNumber>1</OrdinalNumber>
        <LegalEntityID>69556320</LegalEntityID>
        <CaseLegalEntityID>131838072</CaseLegalEntityID>
        <AuthenticationTypeID>1</AuthenticationTypeID>
        <AuthenticationTypeName>ת"ז</AuthenticationTypeName>
        <LegalEntityNumber>037592458</LegalEntityNumber>
        <IsMainPartyType>true</IsMainPartyType>
        <CaseDisplayIdentifier>29941-08-24</CaseDisplayIdentifier>
        <CaseTypeID>15</CaseTypeID>
        <CaseTypeName>תיק משפחה (תמ"ש)</CaseTypeName>
        <CaseName>צור נ' פנחס</CaseName>
        <FullAddress>יעקב בר סימן טוב 107 יהוד-מונוסון כ</FullAddress>
        <MotionID>0</MotionID>
        <CasePleaID>0</CasePleaID>
        <FatherName>משה</FatherName>
        <LinkedCaseID>0</LinkedCaseID>
        <PartyID>2</PartyID>
        <CasePartyCategoryID>2</CasePartyCategoryID>
        <LegalEntityAddressID>90828054</LegalEntityAddressID>
        <PleaTypeID>4</PleaTypeID>
        <GroupPartyAlias>נתבעים</GroupPartyAlias>
        <IsConverted>false</IsConverted>
        <LegalEntityRegisteredNameID>10707024</LegalEntityRegisteredNameID>
        <LegalEntityNameID>98057821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דורית פנחס</PublicationProhibitedFullName>
      </CaseParties>
    </CasePartiesSelectionDS>
    <CaseName>צור נ' פנחס</CaseName>
    <CaseDisplayIdentifier>29941-08-24</CaseDisplayIdentifier>
    <CaseInterestID>139</CaseInterestID>
    <CaseTypeShortName>תמ"ש</CaseTypeShortName>
  </dt_DecisionCase>
  <dt_DecisionJudgePanel>
    <JudgeID>027453133@GOV.IL</JudgeID>
    <DisplayName>הילה מלר-שלו</DisplayName>
    <RoleName>שופט</RoleName>
    <UserTitleName>שופטת</UserTitleName>
  </dt_DecisionJudgePanel>
  <dt_LegalEntityDetails>
    <Fax>03-6134476</Fax>
    <Phone>03-6137776</Phone>
    <AddressDesc>דירה 176</AddressDesc>
    <PartyID>2</PartyID>
    <PartyTypeID>2</PartyTypeID>
    <DecisionID>0</DecisionID>
    <StreetName>מצדה 7</StreetName>
    <CityName>בני ברק</CityName>
    <FullName>זיו בייטל</FullName>
    <Email>zbeitel@netvision.net.il</Email>
    <IsPublicationProhibited>false</IsPublicationProhibited>
  </dt_LegalEntityDetails>
  <dt_LegalEntityDetails>
    <Fax>09-9509747</Fax>
    <Phone>09-9551973</Phone>
    <PartyTypeID>5</PartyTypeID>
    <DecisionID>0</DecisionID>
    <StreetName>קיבוץ גליל ים</StreetName>
    <ZipCode>46905</ZipCode>
    <CityName>גליל ים</CityName>
    <FullName> מכון שינוי</FullName>
    <Email>shinui@machonshinui.co.il</Email>
    <IsPublicationProhibited>false</IsPublicationProhibited>
  </dt_LegalEntityDetails>
  <dt_LegalEntityDetails>
    <Fax>09-9509747</Fax>
    <Phone>09-9551973</Phone>
    <AddressDesc>הרצליה</AddressDesc>
    <PartyTypeID>5</PartyTypeID>
    <DecisionID>0</DecisionID>
    <StreetName>קיבוץ גליל ים</StreetName>
    <ZipCode>46905</ZipCode>
    <CityName>גליל ים</CityName>
    <FullName>דניאל גוטליב</FullName>
    <Email>shinui@machonshinui.co.il</Email>
    <IsPublicationProhibited>false</IsPublicationProhibited>
  </dt_LegalEntityDetails>
  <dt_LegalEntityDetails>
    <Fax>02-5085192</Fax>
    <Phone>072-2537503</Phone>
    <AddressDesc/>
    <PartyTypeID>3</PartyTypeID>
    <DecisionID>0</DecisionID>
    <AssistantRoleID>33</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Fax>02-5419644</Fax>
    <Phone>073-3928262</Phone>
    <AddressDesc>שכונת מעלות דפנה </AddressDesc>
    <PartyTypeID>3</PartyTypeID>
    <DecisionID>0</DecisionID>
    <AssistantRoleID>20</AssistantRoleID>
    <StreetName>מחל 7</StreetName>
    <ZipCode>97765</ZipCode>
    <CityName>ירושלים</CityName>
    <FullName> פרקליטות המדינה, המחלקה ליחסים בינלאומיים</FullName>
    <Email/>
    <IsPublicationProhibited>false</IsPublicationProhibited>
  </dt_LegalEntityDetails>
  <dt_LegalEntityDetails>
    <AddressDesc>ארה"ב</AddressDesc>
    <PartyID>1</PartyID>
    <PartyTypeID>1</PartyTypeID>
    <DecisionID>0</DecisionID>
    <StreetName>425 bucna vista road new</StreetName>
    <FullName>אבישי צור</FullName>
    <IsPublicationProhibited>false</IsPublicationProhibited>
  </dt_LegalEntityDetails>
  <dt_LegalEntityDetails>
    <Fax>08-9966118</Fax>
    <Phone>09-9966119</Phone>
    <AddressDesc>ת.ד 280</AddressDesc>
    <PartyID>1</PartyID>
    <PartyTypeID>2</PartyTypeID>
    <DecisionID>0</DecisionID>
    <StreetName>שדרות דואני 44</StreetName>
    <CityName>יבנה</CityName>
    <FullName>רעות  שדה</FullName>
    <Email>sadelawoffice@gmail.com</Email>
    <IsPublicationProhibited>false</IsPublicationProhibited>
  </dt_LegalEntityDetails>
  <dt_LegalEntityDetails>
    <AddressDesc>כ</AddressDesc>
    <PartyID>2</PartyID>
    <PartyTypeID>1</PartyTypeID>
    <DecisionID>0</DecisionID>
    <StreetName>יעקב בר סימן טוב 107</StreetName>
    <CityName>יהוד-מונוסון</CityName>
    <FullName>דורית פנחס</FullName>
    <IsPublicationProhibited>false</IsPublicationProhibited>
  </dt_LegalEntityDetails>
  <dt_LegalEntityDetails>
    <PartyID>2</PartyID>
    <PartyTypeID>4</PartyTypeID>
    <DecisionID>0</DecisionID>
    <IsPublicationProhibited>false</IsPublicationProhibited>
  </dt_LegalEntityDetails>
  <dt_CaseJudicalPersonActive>
    <CaseJudicalPerson>שופטת הילה מלר-שלו</CaseJudicalPerson>
  </dt_CaseJudicalPersonActive>
  <dt_Sitting>
    <PreviousMeetingDate>2024-09-15T12:00:00+03:00</PreviousMeetingDate>
    <PreviousSittingTypeID>2</PreviousSittingTypeID>
    <PreviousMeetingDisplayName>שופטת הילה מלר-שלו</PreviousMeetingDisplayName>
    <PreviousMeetingRoleName>שופט</PreviousMeetingRoleName>
    <PreviousMeetingUserTitleName>שופטת</PreviousMeetingUserTitleName>
    <PreviousMeetingUserUPN>027453133@GOV.IL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E1435-D453-491C-922E-46E7434B3730}">
  <ds:schemaRefs/>
</ds:datastoreItem>
</file>

<file path=customXml/itemProps2.xml><?xml version="1.0" encoding="utf-8"?>
<ds:datastoreItem xmlns:ds="http://schemas.openxmlformats.org/officeDocument/2006/customXml" ds:itemID="{86C1A445-8610-4E98-AB25-1BD2F5E50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11411</Words>
  <Characters>57055</Characters>
  <Application>Microsoft Office Word</Application>
  <DocSecurity>0</DocSecurity>
  <Lines>475</Lines>
  <Paragraphs>136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2024-12-09T21:17:00Z</cp:lastPrinted>
  <dcterms:created xsi:type="dcterms:W3CDTF">2024-12-31T09:59:00Z</dcterms:created>
  <dcterms:modified xsi:type="dcterms:W3CDTF">2024-12-31T09:59:00Z</dcterms:modified>
</cp:coreProperties>
</file>